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79" w:rsidRPr="00A810B9" w:rsidRDefault="006E6DB8" w:rsidP="004E5411">
      <w:pPr>
        <w:spacing w:before="120" w:line="240" w:lineRule="auto"/>
        <w:jc w:val="center"/>
        <w:rPr>
          <w:rFonts w:cs="Calibri"/>
          <w:sz w:val="28"/>
          <w:u w:val="single"/>
          <w:lang w:eastAsia="fr-FR"/>
        </w:rPr>
      </w:pPr>
      <w:r w:rsidRPr="006E6DB8">
        <w:rPr>
          <w:rFonts w:cs="Arial"/>
          <w:b/>
          <w:bCs/>
          <w:iCs/>
          <w:sz w:val="28"/>
          <w:highlight w:val="green"/>
          <w:u w:val="single"/>
          <w:lang w:eastAsia="fr-FR"/>
        </w:rPr>
        <w:t>ENSEIGNEMENT G</w:t>
      </w:r>
      <w:r w:rsidR="00750451">
        <w:rPr>
          <w:rFonts w:cs="Arial"/>
          <w:b/>
          <w:bCs/>
          <w:iCs/>
          <w:sz w:val="28"/>
          <w:highlight w:val="green"/>
          <w:u w:val="single"/>
          <w:lang w:eastAsia="fr-FR"/>
        </w:rPr>
        <w:t>É</w:t>
      </w:r>
      <w:r w:rsidRPr="006E6DB8">
        <w:rPr>
          <w:rFonts w:cs="Arial"/>
          <w:b/>
          <w:bCs/>
          <w:iCs/>
          <w:sz w:val="28"/>
          <w:highlight w:val="green"/>
          <w:u w:val="single"/>
          <w:lang w:eastAsia="fr-FR"/>
        </w:rPr>
        <w:t>N</w:t>
      </w:r>
      <w:r w:rsidR="00750451">
        <w:rPr>
          <w:rFonts w:cs="Arial"/>
          <w:b/>
          <w:bCs/>
          <w:iCs/>
          <w:sz w:val="28"/>
          <w:highlight w:val="green"/>
          <w:u w:val="single"/>
          <w:lang w:eastAsia="fr-FR"/>
        </w:rPr>
        <w:t>É</w:t>
      </w:r>
      <w:r w:rsidRPr="006E6DB8">
        <w:rPr>
          <w:rFonts w:cs="Arial"/>
          <w:b/>
          <w:bCs/>
          <w:iCs/>
          <w:sz w:val="28"/>
          <w:highlight w:val="green"/>
          <w:u w:val="single"/>
          <w:lang w:eastAsia="fr-FR"/>
        </w:rPr>
        <w:t>RAL LI</w:t>
      </w:r>
      <w:r w:rsidR="00750451">
        <w:rPr>
          <w:rFonts w:cs="Arial"/>
          <w:b/>
          <w:bCs/>
          <w:iCs/>
          <w:sz w:val="28"/>
          <w:highlight w:val="green"/>
          <w:u w:val="single"/>
          <w:lang w:eastAsia="fr-FR"/>
        </w:rPr>
        <w:t>É</w:t>
      </w:r>
      <w:r w:rsidRPr="006E6DB8">
        <w:rPr>
          <w:rFonts w:cs="Arial"/>
          <w:b/>
          <w:bCs/>
          <w:iCs/>
          <w:sz w:val="28"/>
          <w:highlight w:val="green"/>
          <w:u w:val="single"/>
          <w:lang w:eastAsia="fr-FR"/>
        </w:rPr>
        <w:t xml:space="preserve"> A LA SP</w:t>
      </w:r>
      <w:r w:rsidR="00750451">
        <w:rPr>
          <w:rFonts w:cs="Arial"/>
          <w:b/>
          <w:bCs/>
          <w:iCs/>
          <w:sz w:val="28"/>
          <w:highlight w:val="green"/>
          <w:u w:val="single"/>
          <w:lang w:eastAsia="fr-FR"/>
        </w:rPr>
        <w:t>É</w:t>
      </w:r>
      <w:r w:rsidRPr="006E6DB8">
        <w:rPr>
          <w:rFonts w:cs="Arial"/>
          <w:b/>
          <w:bCs/>
          <w:iCs/>
          <w:sz w:val="28"/>
          <w:highlight w:val="green"/>
          <w:u w:val="single"/>
          <w:lang w:eastAsia="fr-FR"/>
        </w:rPr>
        <w:t>CIALIT</w:t>
      </w:r>
      <w:r w:rsidR="00750451">
        <w:rPr>
          <w:rFonts w:cs="Arial"/>
          <w:b/>
          <w:bCs/>
          <w:iCs/>
          <w:sz w:val="28"/>
          <w:highlight w:val="green"/>
          <w:u w:val="single"/>
          <w:lang w:eastAsia="fr-FR"/>
        </w:rPr>
        <w:t>É</w:t>
      </w:r>
      <w:r>
        <w:rPr>
          <w:rFonts w:cs="Arial"/>
          <w:b/>
          <w:bCs/>
          <w:iCs/>
          <w:sz w:val="28"/>
          <w:u w:val="single"/>
          <w:lang w:eastAsia="fr-FR"/>
        </w:rPr>
        <w:t xml:space="preserve"> </w:t>
      </w:r>
    </w:p>
    <w:p w:rsidR="00A63D98" w:rsidRDefault="00D90212" w:rsidP="00A63D98">
      <w:pPr>
        <w:autoSpaceDE w:val="0"/>
        <w:autoSpaceDN w:val="0"/>
        <w:adjustRightInd w:val="0"/>
        <w:spacing w:before="120" w:line="240" w:lineRule="auto"/>
        <w:jc w:val="both"/>
        <w:rPr>
          <w:rFonts w:eastAsia="Times New Roman" w:cs="Arial"/>
          <w:sz w:val="22"/>
          <w:lang w:eastAsia="fr-FR"/>
        </w:rPr>
      </w:pPr>
      <w:r>
        <w:rPr>
          <w:rFonts w:eastAsia="Times New Roman" w:cs="Arial"/>
          <w:sz w:val="22"/>
          <w:lang w:eastAsia="fr-FR"/>
        </w:rPr>
        <w:t xml:space="preserve"> </w:t>
      </w:r>
      <w:bookmarkStart w:id="0" w:name="_GoBack"/>
      <w:bookmarkEnd w:id="0"/>
    </w:p>
    <w:p w:rsidR="00A63D98" w:rsidRPr="00A63D98" w:rsidRDefault="00A63D98" w:rsidP="00A63D98">
      <w:pPr>
        <w:autoSpaceDE w:val="0"/>
        <w:autoSpaceDN w:val="0"/>
        <w:adjustRightInd w:val="0"/>
        <w:spacing w:before="120" w:line="240" w:lineRule="auto"/>
        <w:jc w:val="both"/>
        <w:rPr>
          <w:rFonts w:eastAsia="Times New Roman" w:cs="Arial"/>
          <w:sz w:val="22"/>
          <w:lang w:eastAsia="fr-FR"/>
        </w:rPr>
      </w:pPr>
      <w:r w:rsidRPr="00A63D98">
        <w:rPr>
          <w:rFonts w:eastAsia="Times New Roman" w:cs="Arial"/>
          <w:sz w:val="22"/>
          <w:lang w:eastAsia="fr-FR"/>
        </w:rPr>
        <w:t>Ils correspondent à 152 h pour le cycle et sont assurés par des professeurs d’enseignement général.</w:t>
      </w:r>
    </w:p>
    <w:p w:rsidR="00A63D98" w:rsidRPr="00A63D98" w:rsidRDefault="00A63D98" w:rsidP="00A63D98">
      <w:pPr>
        <w:pStyle w:val="Paragraphedeliste"/>
        <w:numPr>
          <w:ilvl w:val="0"/>
          <w:numId w:val="20"/>
        </w:numPr>
        <w:autoSpaceDE w:val="0"/>
        <w:autoSpaceDN w:val="0"/>
        <w:adjustRightInd w:val="0"/>
        <w:spacing w:before="120" w:line="240" w:lineRule="auto"/>
        <w:jc w:val="both"/>
        <w:rPr>
          <w:rFonts w:eastAsia="Times New Roman" w:cs="Arial"/>
          <w:sz w:val="22"/>
          <w:lang w:eastAsia="fr-FR"/>
        </w:rPr>
      </w:pPr>
      <w:r w:rsidRPr="00A63D98">
        <w:rPr>
          <w:rFonts w:eastAsia="Times New Roman" w:cs="Arial"/>
          <w:sz w:val="22"/>
          <w:lang w:eastAsia="fr-FR"/>
        </w:rPr>
        <w:t>grille N°1 : mathématiques, sciences, français, LV1, arts appliqués.</w:t>
      </w:r>
    </w:p>
    <w:p w:rsidR="00A63D98" w:rsidRPr="00A63D98" w:rsidRDefault="00A63D98" w:rsidP="00A63D98">
      <w:pPr>
        <w:pStyle w:val="Paragraphedeliste"/>
        <w:numPr>
          <w:ilvl w:val="0"/>
          <w:numId w:val="20"/>
        </w:numPr>
        <w:autoSpaceDE w:val="0"/>
        <w:autoSpaceDN w:val="0"/>
        <w:adjustRightInd w:val="0"/>
        <w:spacing w:before="120" w:line="240" w:lineRule="auto"/>
        <w:jc w:val="both"/>
        <w:rPr>
          <w:rFonts w:eastAsia="Times New Roman" w:cs="Arial"/>
          <w:sz w:val="22"/>
          <w:lang w:eastAsia="fr-FR"/>
        </w:rPr>
      </w:pPr>
      <w:r w:rsidRPr="00A63D98">
        <w:rPr>
          <w:rFonts w:eastAsia="Times New Roman" w:cs="Arial"/>
          <w:sz w:val="22"/>
          <w:lang w:eastAsia="fr-FR"/>
        </w:rPr>
        <w:t>grille N°2 : mathématiques, français, LV1, LV2, arts appliqués.</w:t>
      </w:r>
    </w:p>
    <w:p w:rsidR="00A63D98" w:rsidRPr="00A63D98" w:rsidRDefault="00A63D98" w:rsidP="00A63D98">
      <w:pPr>
        <w:autoSpaceDE w:val="0"/>
        <w:autoSpaceDN w:val="0"/>
        <w:adjustRightInd w:val="0"/>
        <w:spacing w:before="120" w:line="240" w:lineRule="auto"/>
        <w:jc w:val="both"/>
        <w:rPr>
          <w:rFonts w:eastAsia="Times New Roman" w:cs="Arial"/>
          <w:sz w:val="22"/>
          <w:lang w:eastAsia="fr-FR"/>
        </w:rPr>
      </w:pPr>
    </w:p>
    <w:p w:rsidR="00A63D98" w:rsidRPr="00A63D98" w:rsidRDefault="00A63D98" w:rsidP="00A63D98">
      <w:pPr>
        <w:autoSpaceDE w:val="0"/>
        <w:autoSpaceDN w:val="0"/>
        <w:adjustRightInd w:val="0"/>
        <w:spacing w:before="120" w:line="240" w:lineRule="auto"/>
        <w:jc w:val="both"/>
        <w:rPr>
          <w:rFonts w:eastAsia="Times New Roman" w:cs="Arial"/>
          <w:sz w:val="22"/>
          <w:lang w:eastAsia="fr-FR"/>
        </w:rPr>
      </w:pPr>
      <w:r w:rsidRPr="00A63D98">
        <w:rPr>
          <w:rFonts w:eastAsia="Times New Roman" w:cs="Arial"/>
          <w:sz w:val="22"/>
          <w:lang w:eastAsia="fr-FR"/>
        </w:rPr>
        <w:t>Les volumes horaires et la répartition sur le cycle des 3 ans sont laissés à l’initiative de l’établissement dans le cadre de son autonomie. Cependant, ces enseignements étant liés à la spécialité, leur répartition devra prendre en compte :</w:t>
      </w:r>
    </w:p>
    <w:p w:rsidR="00A63D98" w:rsidRPr="00A63D98" w:rsidRDefault="00A63D98" w:rsidP="00A63D98">
      <w:pPr>
        <w:pStyle w:val="Paragraphedeliste"/>
        <w:numPr>
          <w:ilvl w:val="0"/>
          <w:numId w:val="20"/>
        </w:numPr>
        <w:autoSpaceDE w:val="0"/>
        <w:autoSpaceDN w:val="0"/>
        <w:adjustRightInd w:val="0"/>
        <w:spacing w:before="120" w:line="240" w:lineRule="auto"/>
        <w:jc w:val="both"/>
        <w:rPr>
          <w:rFonts w:eastAsia="Times New Roman" w:cs="Arial"/>
          <w:sz w:val="22"/>
          <w:lang w:eastAsia="fr-FR"/>
        </w:rPr>
      </w:pPr>
      <w:r w:rsidRPr="00A63D98">
        <w:rPr>
          <w:rFonts w:eastAsia="Times New Roman" w:cs="Arial"/>
          <w:sz w:val="22"/>
          <w:lang w:eastAsia="fr-FR"/>
        </w:rPr>
        <w:t>les besoins particuliers attachés au type de baccalauréat professionnel préparé,</w:t>
      </w:r>
    </w:p>
    <w:p w:rsidR="00A63D98" w:rsidRPr="00A63D98" w:rsidRDefault="00A63D98" w:rsidP="00A63D98">
      <w:pPr>
        <w:pStyle w:val="Paragraphedeliste"/>
        <w:numPr>
          <w:ilvl w:val="0"/>
          <w:numId w:val="20"/>
        </w:numPr>
        <w:autoSpaceDE w:val="0"/>
        <w:autoSpaceDN w:val="0"/>
        <w:adjustRightInd w:val="0"/>
        <w:spacing w:before="120" w:line="240" w:lineRule="auto"/>
        <w:jc w:val="both"/>
        <w:rPr>
          <w:rFonts w:eastAsia="Times New Roman" w:cs="Arial"/>
          <w:sz w:val="22"/>
          <w:lang w:eastAsia="fr-FR"/>
        </w:rPr>
      </w:pPr>
      <w:r w:rsidRPr="00A63D98">
        <w:rPr>
          <w:rFonts w:eastAsia="Times New Roman" w:cs="Arial"/>
          <w:sz w:val="22"/>
          <w:lang w:eastAsia="fr-FR"/>
        </w:rPr>
        <w:t>la complémentarité entre enseignement professionnel et enseignement général afin de donner du sens aux apprentissages,</w:t>
      </w:r>
    </w:p>
    <w:p w:rsidR="00A63D98" w:rsidRPr="00A63D98" w:rsidRDefault="00A63D98" w:rsidP="00A63D98">
      <w:pPr>
        <w:pStyle w:val="Paragraphedeliste"/>
        <w:numPr>
          <w:ilvl w:val="0"/>
          <w:numId w:val="20"/>
        </w:numPr>
        <w:autoSpaceDE w:val="0"/>
        <w:autoSpaceDN w:val="0"/>
        <w:adjustRightInd w:val="0"/>
        <w:spacing w:before="120" w:line="240" w:lineRule="auto"/>
        <w:jc w:val="both"/>
        <w:rPr>
          <w:rFonts w:eastAsia="Times New Roman" w:cs="Arial"/>
          <w:sz w:val="22"/>
          <w:lang w:eastAsia="fr-FR"/>
        </w:rPr>
      </w:pPr>
      <w:r w:rsidRPr="00A63D98">
        <w:rPr>
          <w:rFonts w:eastAsia="Times New Roman" w:cs="Arial"/>
          <w:sz w:val="22"/>
          <w:lang w:eastAsia="fr-FR"/>
        </w:rPr>
        <w:t>les activités de projet.</w:t>
      </w:r>
    </w:p>
    <w:p w:rsidR="00A63D98" w:rsidRPr="00A63D98" w:rsidRDefault="00A63D98" w:rsidP="00A63D98">
      <w:pPr>
        <w:autoSpaceDE w:val="0"/>
        <w:autoSpaceDN w:val="0"/>
        <w:adjustRightInd w:val="0"/>
        <w:spacing w:before="120" w:line="240" w:lineRule="auto"/>
        <w:jc w:val="both"/>
        <w:rPr>
          <w:rFonts w:eastAsia="Times New Roman" w:cs="Arial"/>
          <w:sz w:val="22"/>
          <w:lang w:eastAsia="fr-FR"/>
        </w:rPr>
      </w:pPr>
    </w:p>
    <w:p w:rsidR="00A63D98" w:rsidRPr="00A63D98" w:rsidRDefault="00A63D98" w:rsidP="00A63D98">
      <w:pPr>
        <w:autoSpaceDE w:val="0"/>
        <w:autoSpaceDN w:val="0"/>
        <w:adjustRightInd w:val="0"/>
        <w:spacing w:before="120" w:line="240" w:lineRule="auto"/>
        <w:jc w:val="both"/>
        <w:rPr>
          <w:rFonts w:eastAsia="Times New Roman" w:cs="Arial"/>
          <w:sz w:val="22"/>
          <w:lang w:eastAsia="fr-FR"/>
        </w:rPr>
      </w:pPr>
      <w:r w:rsidRPr="00A63D98">
        <w:rPr>
          <w:rFonts w:eastAsia="Times New Roman" w:cs="Arial"/>
          <w:sz w:val="22"/>
          <w:lang w:eastAsia="fr-FR"/>
        </w:rPr>
        <w:t xml:space="preserve">La concertation dans l’équipe pédagogique devra </w:t>
      </w:r>
      <w:r w:rsidRPr="00B92AE8">
        <w:rPr>
          <w:rFonts w:eastAsia="Times New Roman" w:cs="Arial"/>
          <w:sz w:val="22"/>
          <w:lang w:eastAsia="fr-FR"/>
        </w:rPr>
        <w:t xml:space="preserve">donc </w:t>
      </w:r>
      <w:r w:rsidR="00071E28" w:rsidRPr="00B92AE8">
        <w:rPr>
          <w:rFonts w:eastAsia="Times New Roman" w:cs="Arial"/>
          <w:sz w:val="22"/>
          <w:lang w:eastAsia="fr-FR"/>
        </w:rPr>
        <w:t>permettre d’établir</w:t>
      </w:r>
      <w:r w:rsidRPr="00B92AE8">
        <w:rPr>
          <w:rFonts w:eastAsia="Times New Roman" w:cs="Arial"/>
          <w:sz w:val="22"/>
          <w:lang w:eastAsia="fr-FR"/>
        </w:rPr>
        <w:t>,</w:t>
      </w:r>
      <w:r w:rsidRPr="00A63D98">
        <w:rPr>
          <w:rFonts w:eastAsia="Times New Roman" w:cs="Arial"/>
          <w:sz w:val="22"/>
          <w:lang w:eastAsia="fr-FR"/>
        </w:rPr>
        <w:t xml:space="preserve"> en tenant compte des contraintes de l’établissement, une proposition de répartition annuelle et/ou pluriannuelle de ces enseignements généraux liés à la spécialité.</w:t>
      </w:r>
    </w:p>
    <w:p w:rsidR="00CE7FD9" w:rsidRDefault="00CE7FD9" w:rsidP="00A63D98">
      <w:pPr>
        <w:spacing w:before="120" w:line="240" w:lineRule="auto"/>
        <w:jc w:val="both"/>
        <w:outlineLvl w:val="2"/>
        <w:rPr>
          <w:rFonts w:eastAsia="Times New Roman" w:cs="Arial"/>
          <w:b/>
          <w:bCs/>
          <w:sz w:val="22"/>
          <w:lang w:eastAsia="fr-FR"/>
        </w:rPr>
      </w:pPr>
    </w:p>
    <w:p w:rsidR="00A63D98" w:rsidRPr="00A63D98" w:rsidRDefault="00A63D98" w:rsidP="00A63D98">
      <w:pPr>
        <w:spacing w:before="120" w:line="240" w:lineRule="auto"/>
        <w:jc w:val="both"/>
        <w:outlineLvl w:val="2"/>
        <w:rPr>
          <w:rFonts w:eastAsia="Times New Roman" w:cs="Arial"/>
          <w:b/>
          <w:bCs/>
          <w:sz w:val="22"/>
          <w:lang w:eastAsia="fr-FR"/>
        </w:rPr>
      </w:pPr>
      <w:r w:rsidRPr="00A63D98">
        <w:rPr>
          <w:rFonts w:eastAsia="Times New Roman" w:cs="Arial"/>
          <w:b/>
          <w:bCs/>
          <w:sz w:val="22"/>
          <w:lang w:eastAsia="fr-FR"/>
        </w:rPr>
        <w:t>Spécificité des enseignements généraux liés à la spécialité</w:t>
      </w:r>
    </w:p>
    <w:p w:rsidR="00A63D98" w:rsidRDefault="00A63D98" w:rsidP="00A63D98">
      <w:pPr>
        <w:spacing w:before="120" w:line="240" w:lineRule="auto"/>
        <w:jc w:val="both"/>
        <w:rPr>
          <w:rFonts w:eastAsia="Times New Roman" w:cs="Arial"/>
          <w:sz w:val="22"/>
          <w:lang w:eastAsia="fr-FR"/>
        </w:rPr>
      </w:pPr>
      <w:r w:rsidRPr="00A63D98">
        <w:rPr>
          <w:rFonts w:eastAsia="Times New Roman" w:cs="Arial"/>
          <w:sz w:val="22"/>
          <w:lang w:eastAsia="fr-FR"/>
        </w:rPr>
        <w:t>Les enseignements généraux liés à la spécialité</w:t>
      </w:r>
      <w:r>
        <w:rPr>
          <w:rFonts w:eastAsia="Times New Roman" w:cs="Arial"/>
          <w:sz w:val="22"/>
          <w:lang w:eastAsia="fr-FR"/>
        </w:rPr>
        <w:t> :</w:t>
      </w:r>
    </w:p>
    <w:p w:rsidR="00A63D98" w:rsidRPr="00A63D98" w:rsidRDefault="00A63D98" w:rsidP="00A63D98">
      <w:pPr>
        <w:pStyle w:val="Paragraphedeliste"/>
        <w:numPr>
          <w:ilvl w:val="3"/>
          <w:numId w:val="22"/>
        </w:numPr>
        <w:spacing w:before="120" w:line="240" w:lineRule="auto"/>
        <w:ind w:left="709"/>
        <w:jc w:val="both"/>
        <w:rPr>
          <w:rFonts w:eastAsia="Times New Roman" w:cs="Arial"/>
          <w:sz w:val="22"/>
          <w:lang w:eastAsia="fr-FR"/>
        </w:rPr>
      </w:pPr>
      <w:r w:rsidRPr="00A63D98">
        <w:rPr>
          <w:rFonts w:eastAsia="Times New Roman" w:cs="Arial"/>
          <w:sz w:val="22"/>
          <w:lang w:eastAsia="fr-FR"/>
        </w:rPr>
        <w:t>se distinguent de l’accompagnement personnalisé</w:t>
      </w:r>
    </w:p>
    <w:p w:rsidR="00A63D98" w:rsidRPr="00A63D98" w:rsidRDefault="00A63D98" w:rsidP="00A63D98">
      <w:pPr>
        <w:pStyle w:val="Paragraphedeliste"/>
        <w:numPr>
          <w:ilvl w:val="0"/>
          <w:numId w:val="22"/>
        </w:numPr>
        <w:spacing w:before="120" w:line="240" w:lineRule="auto"/>
        <w:jc w:val="both"/>
        <w:rPr>
          <w:rFonts w:eastAsia="Times New Roman" w:cs="Arial"/>
          <w:sz w:val="22"/>
          <w:lang w:eastAsia="fr-FR"/>
        </w:rPr>
      </w:pPr>
      <w:r w:rsidRPr="00A63D98">
        <w:rPr>
          <w:rFonts w:eastAsia="Times New Roman" w:cs="Arial"/>
          <w:sz w:val="22"/>
          <w:lang w:eastAsia="fr-FR"/>
        </w:rPr>
        <w:t>se distinguent du PPCP</w:t>
      </w:r>
    </w:p>
    <w:p w:rsidR="00A63D98" w:rsidRPr="00A63D98" w:rsidRDefault="00A63D98" w:rsidP="00A63D98">
      <w:pPr>
        <w:pStyle w:val="Paragraphedeliste"/>
        <w:numPr>
          <w:ilvl w:val="0"/>
          <w:numId w:val="22"/>
        </w:numPr>
        <w:spacing w:before="120" w:line="240" w:lineRule="auto"/>
        <w:jc w:val="both"/>
        <w:rPr>
          <w:rFonts w:eastAsia="Times New Roman" w:cs="Arial"/>
          <w:sz w:val="22"/>
          <w:lang w:eastAsia="fr-FR"/>
        </w:rPr>
      </w:pPr>
      <w:r w:rsidRPr="00A63D98">
        <w:rPr>
          <w:rFonts w:eastAsia="Times New Roman" w:cs="Arial"/>
          <w:sz w:val="22"/>
          <w:lang w:eastAsia="fr-FR"/>
        </w:rPr>
        <w:t>ne servent pas à réaliser le programme, dans le cadre d’heures dédoublées</w:t>
      </w:r>
    </w:p>
    <w:p w:rsidR="00A63D98" w:rsidRPr="00A63D98" w:rsidRDefault="00A63D98" w:rsidP="00A63D98">
      <w:pPr>
        <w:spacing w:before="120" w:line="240" w:lineRule="auto"/>
        <w:jc w:val="both"/>
        <w:rPr>
          <w:rFonts w:eastAsia="Times New Roman" w:cs="Arial"/>
          <w:sz w:val="22"/>
          <w:lang w:eastAsia="fr-FR"/>
        </w:rPr>
      </w:pPr>
    </w:p>
    <w:p w:rsidR="00A63D98" w:rsidRPr="00A63D98" w:rsidRDefault="00A63D98" w:rsidP="00A63D98">
      <w:pPr>
        <w:spacing w:before="120" w:line="240" w:lineRule="auto"/>
        <w:jc w:val="both"/>
        <w:rPr>
          <w:rFonts w:eastAsia="Times New Roman" w:cs="Arial"/>
          <w:sz w:val="22"/>
          <w:lang w:eastAsia="fr-FR"/>
        </w:rPr>
      </w:pPr>
      <w:r w:rsidRPr="00A63D98">
        <w:rPr>
          <w:rFonts w:eastAsia="Times New Roman" w:cs="Arial"/>
          <w:sz w:val="22"/>
          <w:lang w:eastAsia="fr-FR"/>
        </w:rPr>
        <w:t>Les enseignements généraux liés à la spécialité s’inscrivent dans le cadre d’une contribution à la professionnalisation. Ils exigent donc :</w:t>
      </w:r>
    </w:p>
    <w:p w:rsidR="00B92AE8" w:rsidRPr="00B92AE8" w:rsidRDefault="00B92AE8" w:rsidP="00B92AE8">
      <w:pPr>
        <w:pStyle w:val="Paragraphedeliste"/>
        <w:numPr>
          <w:ilvl w:val="0"/>
          <w:numId w:val="23"/>
        </w:numPr>
        <w:spacing w:before="120" w:line="240" w:lineRule="auto"/>
        <w:jc w:val="both"/>
        <w:rPr>
          <w:rFonts w:eastAsia="Times New Roman" w:cs="Arial"/>
          <w:sz w:val="22"/>
          <w:lang w:eastAsia="fr-FR"/>
        </w:rPr>
      </w:pPr>
      <w:r w:rsidRPr="00B92AE8">
        <w:rPr>
          <w:rFonts w:eastAsia="Times New Roman" w:cs="Arial"/>
          <w:sz w:val="22"/>
          <w:lang w:eastAsia="fr-FR"/>
        </w:rPr>
        <w:t>une réflexion générale, dans le cadre du conseil pédagogique, pour construire un projet EGLS cohérent au regard  de la spécialité et des projets de formation d</w:t>
      </w:r>
      <w:r>
        <w:rPr>
          <w:rFonts w:eastAsia="Times New Roman" w:cs="Arial"/>
          <w:sz w:val="22"/>
          <w:lang w:eastAsia="fr-FR"/>
        </w:rPr>
        <w:t>e</w:t>
      </w:r>
      <w:r w:rsidRPr="00B92AE8">
        <w:rPr>
          <w:rFonts w:eastAsia="Times New Roman" w:cs="Arial"/>
          <w:sz w:val="22"/>
          <w:lang w:eastAsia="fr-FR"/>
        </w:rPr>
        <w:t xml:space="preserve"> toutes les disciplines</w:t>
      </w:r>
    </w:p>
    <w:p w:rsidR="00CE7FD9" w:rsidRDefault="00A63D98" w:rsidP="00CE7FD9">
      <w:pPr>
        <w:pStyle w:val="Paragraphedeliste"/>
        <w:numPr>
          <w:ilvl w:val="0"/>
          <w:numId w:val="23"/>
        </w:numPr>
        <w:spacing w:before="120" w:line="240" w:lineRule="auto"/>
        <w:jc w:val="both"/>
        <w:rPr>
          <w:rFonts w:eastAsia="Times New Roman" w:cs="Arial"/>
          <w:sz w:val="22"/>
          <w:lang w:eastAsia="fr-FR"/>
        </w:rPr>
      </w:pPr>
      <w:r w:rsidRPr="00CE7FD9">
        <w:rPr>
          <w:rFonts w:eastAsia="Times New Roman" w:cs="Arial"/>
          <w:sz w:val="22"/>
          <w:lang w:eastAsia="fr-FR"/>
        </w:rPr>
        <w:t>que les professeurs d’enseignement général et ceux de spécialité aient une connaissance mutuelle approfondie des référentiels et/ou programmes des uns et des autres</w:t>
      </w:r>
    </w:p>
    <w:p w:rsidR="00CE7FD9" w:rsidRDefault="00A63D98" w:rsidP="00CE7FD9">
      <w:pPr>
        <w:pStyle w:val="Paragraphedeliste"/>
        <w:numPr>
          <w:ilvl w:val="0"/>
          <w:numId w:val="23"/>
        </w:numPr>
        <w:spacing w:before="120" w:line="240" w:lineRule="auto"/>
        <w:jc w:val="both"/>
        <w:rPr>
          <w:rFonts w:eastAsia="Times New Roman" w:cs="Arial"/>
          <w:sz w:val="22"/>
          <w:lang w:eastAsia="fr-FR"/>
        </w:rPr>
      </w:pPr>
      <w:r w:rsidRPr="00CE7FD9">
        <w:rPr>
          <w:rFonts w:eastAsia="Times New Roman" w:cs="Arial"/>
          <w:sz w:val="22"/>
          <w:lang w:eastAsia="fr-FR"/>
        </w:rPr>
        <w:t xml:space="preserve">qu’une réelle s’installe </w:t>
      </w:r>
      <w:proofErr w:type="spellStart"/>
      <w:r w:rsidR="00B92AE8" w:rsidRPr="00CE7FD9">
        <w:rPr>
          <w:rFonts w:eastAsia="Times New Roman" w:cs="Arial"/>
          <w:sz w:val="22"/>
          <w:lang w:eastAsia="fr-FR"/>
        </w:rPr>
        <w:t>co-disciplinarité</w:t>
      </w:r>
      <w:proofErr w:type="spellEnd"/>
      <w:r w:rsidR="00B92AE8" w:rsidRPr="00CE7FD9">
        <w:rPr>
          <w:rFonts w:eastAsia="Times New Roman" w:cs="Arial"/>
          <w:sz w:val="22"/>
          <w:lang w:eastAsia="fr-FR"/>
        </w:rPr>
        <w:t xml:space="preserve"> </w:t>
      </w:r>
      <w:r w:rsidRPr="00CE7FD9">
        <w:rPr>
          <w:rFonts w:eastAsia="Times New Roman" w:cs="Arial"/>
          <w:sz w:val="22"/>
          <w:lang w:eastAsia="fr-FR"/>
        </w:rPr>
        <w:t xml:space="preserve">"sans fusion, ni confusion" </w:t>
      </w:r>
    </w:p>
    <w:p w:rsidR="00CE7FD9" w:rsidRDefault="00A63D98" w:rsidP="00CE7FD9">
      <w:pPr>
        <w:pStyle w:val="Paragraphedeliste"/>
        <w:numPr>
          <w:ilvl w:val="0"/>
          <w:numId w:val="23"/>
        </w:numPr>
        <w:spacing w:before="120" w:line="240" w:lineRule="auto"/>
        <w:jc w:val="both"/>
        <w:rPr>
          <w:rFonts w:eastAsia="Times New Roman" w:cs="Arial"/>
          <w:sz w:val="22"/>
          <w:lang w:eastAsia="fr-FR"/>
        </w:rPr>
      </w:pPr>
      <w:r w:rsidRPr="00CE7FD9">
        <w:rPr>
          <w:rFonts w:eastAsia="Times New Roman" w:cs="Arial"/>
          <w:sz w:val="22"/>
          <w:lang w:eastAsia="fr-FR"/>
        </w:rPr>
        <w:t>que toute instrumentalisation de l’enseignement général au profit de l’enseignement professionnel soit écartée</w:t>
      </w:r>
    </w:p>
    <w:p w:rsidR="00A63D98" w:rsidRPr="00A63D98" w:rsidRDefault="00A63D98" w:rsidP="00A63D98">
      <w:pPr>
        <w:spacing w:before="120" w:line="240" w:lineRule="auto"/>
        <w:jc w:val="both"/>
        <w:rPr>
          <w:rFonts w:eastAsia="Times New Roman" w:cs="Arial"/>
          <w:sz w:val="22"/>
          <w:lang w:eastAsia="fr-FR"/>
        </w:rPr>
      </w:pPr>
      <w:r w:rsidRPr="00A63D98">
        <w:rPr>
          <w:rFonts w:eastAsia="Times New Roman" w:cs="Arial"/>
          <w:sz w:val="22"/>
          <w:lang w:eastAsia="fr-FR"/>
        </w:rPr>
        <w:t>Le volume horaire attribué à une discipline devra se faire sur la base d’un projet élaboré entre un professeur d’enseignement général (pour les disciplines concernées) et un professeur de l’enseignement professionnel. Ce volume devra être en cohérence avec l’importance de sa contribution à la professionnalisation.</w:t>
      </w:r>
    </w:p>
    <w:p w:rsidR="00CE7FD9" w:rsidRDefault="00CE7FD9" w:rsidP="00A63D98">
      <w:pPr>
        <w:spacing w:before="120" w:line="240" w:lineRule="auto"/>
        <w:jc w:val="both"/>
        <w:outlineLvl w:val="2"/>
        <w:rPr>
          <w:rFonts w:eastAsia="Times New Roman" w:cs="Arial"/>
          <w:b/>
          <w:bCs/>
          <w:sz w:val="22"/>
          <w:lang w:eastAsia="fr-FR"/>
        </w:rPr>
      </w:pPr>
    </w:p>
    <w:p w:rsidR="00A63D98" w:rsidRPr="00A63D98" w:rsidRDefault="00A63D98" w:rsidP="00A63D98">
      <w:pPr>
        <w:spacing w:before="120" w:line="240" w:lineRule="auto"/>
        <w:jc w:val="both"/>
        <w:outlineLvl w:val="2"/>
        <w:rPr>
          <w:rFonts w:eastAsia="Times New Roman" w:cs="Arial"/>
          <w:b/>
          <w:bCs/>
          <w:sz w:val="22"/>
          <w:lang w:eastAsia="fr-FR"/>
        </w:rPr>
      </w:pPr>
      <w:r w:rsidRPr="00A63D98">
        <w:rPr>
          <w:rFonts w:eastAsia="Times New Roman" w:cs="Arial"/>
          <w:b/>
          <w:bCs/>
          <w:sz w:val="22"/>
          <w:lang w:eastAsia="fr-FR"/>
        </w:rPr>
        <w:t>La contribution à la professionnalisation</w:t>
      </w:r>
    </w:p>
    <w:p w:rsidR="00CE7FD9" w:rsidRPr="00CE7FD9" w:rsidRDefault="00A63D98" w:rsidP="00CE7FD9">
      <w:pPr>
        <w:spacing w:before="120" w:line="240" w:lineRule="auto"/>
        <w:jc w:val="both"/>
        <w:rPr>
          <w:rFonts w:eastAsia="Times New Roman" w:cs="Arial"/>
          <w:sz w:val="22"/>
          <w:lang w:eastAsia="fr-FR"/>
        </w:rPr>
      </w:pPr>
      <w:r w:rsidRPr="00CE7FD9">
        <w:rPr>
          <w:rFonts w:eastAsia="Times New Roman" w:cs="Arial"/>
          <w:sz w:val="22"/>
          <w:lang w:eastAsia="fr-FR"/>
        </w:rPr>
        <w:t>La contribution à la professionnalisation peut se faire, par exemple, par :</w:t>
      </w:r>
    </w:p>
    <w:p w:rsidR="00CE7FD9" w:rsidRDefault="00A63D98" w:rsidP="00CE7FD9">
      <w:pPr>
        <w:pStyle w:val="Paragraphedeliste"/>
        <w:numPr>
          <w:ilvl w:val="0"/>
          <w:numId w:val="25"/>
        </w:numPr>
        <w:spacing w:before="120" w:line="240" w:lineRule="auto"/>
        <w:jc w:val="both"/>
        <w:rPr>
          <w:rFonts w:eastAsia="Times New Roman" w:cs="Arial"/>
          <w:sz w:val="22"/>
          <w:lang w:eastAsia="fr-FR"/>
        </w:rPr>
      </w:pPr>
      <w:r w:rsidRPr="00CE7FD9">
        <w:rPr>
          <w:rFonts w:eastAsia="Times New Roman" w:cs="Arial"/>
          <w:sz w:val="22"/>
          <w:lang w:eastAsia="fr-FR"/>
        </w:rPr>
        <w:t>des activités visant à développer des connaissances et des compétences utiles à la pratique professionnelle</w:t>
      </w:r>
    </w:p>
    <w:p w:rsidR="00CE7FD9" w:rsidRDefault="00A63D98" w:rsidP="00CE7FD9">
      <w:pPr>
        <w:pStyle w:val="Paragraphedeliste"/>
        <w:numPr>
          <w:ilvl w:val="0"/>
          <w:numId w:val="25"/>
        </w:numPr>
        <w:spacing w:before="120" w:line="240" w:lineRule="auto"/>
        <w:jc w:val="both"/>
        <w:rPr>
          <w:rFonts w:eastAsia="Times New Roman" w:cs="Arial"/>
          <w:sz w:val="22"/>
          <w:lang w:eastAsia="fr-FR"/>
        </w:rPr>
      </w:pPr>
      <w:r w:rsidRPr="00CE7FD9">
        <w:rPr>
          <w:rFonts w:eastAsia="Times New Roman" w:cs="Arial"/>
          <w:sz w:val="22"/>
          <w:lang w:eastAsia="fr-FR"/>
        </w:rPr>
        <w:t>des activités s’appuyant sur un contexte professionnel, sur des techniques ou des méthodes de travail spécifiques à la profession, sur des ressources qu’elle utilise</w:t>
      </w:r>
    </w:p>
    <w:p w:rsidR="00CE7FD9" w:rsidRDefault="00A63D98" w:rsidP="00CE7FD9">
      <w:pPr>
        <w:pStyle w:val="Paragraphedeliste"/>
        <w:numPr>
          <w:ilvl w:val="0"/>
          <w:numId w:val="25"/>
        </w:numPr>
        <w:spacing w:before="120" w:line="240" w:lineRule="auto"/>
        <w:jc w:val="both"/>
        <w:rPr>
          <w:rFonts w:eastAsia="Times New Roman" w:cs="Arial"/>
          <w:sz w:val="22"/>
          <w:lang w:eastAsia="fr-FR"/>
        </w:rPr>
      </w:pPr>
      <w:r w:rsidRPr="00CE7FD9">
        <w:rPr>
          <w:rFonts w:eastAsia="Times New Roman" w:cs="Arial"/>
          <w:sz w:val="22"/>
          <w:lang w:eastAsia="fr-FR"/>
        </w:rPr>
        <w:t>des activités liées au suivi et à l’évaluation des PFMP</w:t>
      </w:r>
    </w:p>
    <w:p w:rsidR="00A63D98" w:rsidRPr="00CE7FD9" w:rsidRDefault="00A63D98" w:rsidP="00CE7FD9">
      <w:pPr>
        <w:pStyle w:val="Paragraphedeliste"/>
        <w:numPr>
          <w:ilvl w:val="0"/>
          <w:numId w:val="25"/>
        </w:numPr>
        <w:spacing w:before="120" w:line="240" w:lineRule="auto"/>
        <w:jc w:val="both"/>
        <w:rPr>
          <w:rFonts w:eastAsia="Times New Roman" w:cs="Arial"/>
          <w:sz w:val="22"/>
          <w:lang w:eastAsia="fr-FR"/>
        </w:rPr>
      </w:pPr>
      <w:r w:rsidRPr="00CE7FD9">
        <w:rPr>
          <w:rFonts w:eastAsia="Times New Roman" w:cs="Arial"/>
          <w:sz w:val="22"/>
          <w:lang w:eastAsia="fr-FR"/>
        </w:rPr>
        <w:lastRenderedPageBreak/>
        <w:t>des contenus disciplinaires qui s’ajoutent à un tronc commun (ex. modules spécifiques de mathématiques ou de sciences physiques, dont les contenus varient selon des groupes de spécialités).</w:t>
      </w:r>
    </w:p>
    <w:sectPr w:rsidR="00A63D98" w:rsidRPr="00CE7FD9" w:rsidSect="0015517A">
      <w:headerReference w:type="default" r:id="rId9"/>
      <w:pgSz w:w="11906" w:h="16838" w:code="9"/>
      <w:pgMar w:top="851" w:right="851" w:bottom="851"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598" w:rsidRDefault="00514598" w:rsidP="0015517A">
      <w:pPr>
        <w:spacing w:line="240" w:lineRule="auto"/>
      </w:pPr>
      <w:r>
        <w:separator/>
      </w:r>
    </w:p>
  </w:endnote>
  <w:endnote w:type="continuationSeparator" w:id="0">
    <w:p w:rsidR="00514598" w:rsidRDefault="00514598" w:rsidP="00155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598" w:rsidRDefault="00514598" w:rsidP="0015517A">
      <w:pPr>
        <w:spacing w:line="240" w:lineRule="auto"/>
      </w:pPr>
      <w:r>
        <w:separator/>
      </w:r>
    </w:p>
  </w:footnote>
  <w:footnote w:type="continuationSeparator" w:id="0">
    <w:p w:rsidR="00514598" w:rsidRDefault="00514598" w:rsidP="00155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2F" w:rsidRDefault="00AD1C8A" w:rsidP="00271F2F">
    <w:pPr>
      <w:pStyle w:val="En-tte"/>
      <w:tabs>
        <w:tab w:val="clear" w:pos="4536"/>
        <w:tab w:val="clear" w:pos="9072"/>
      </w:tabs>
      <w:ind w:left="1134" w:right="1132"/>
      <w:jc w:val="center"/>
      <w:rPr>
        <w:rFonts w:cs="Arial"/>
        <w:b/>
        <w:bCs/>
        <w:color w:val="000000"/>
        <w:kern w:val="24"/>
        <w:sz w:val="22"/>
      </w:rPr>
    </w:pPr>
    <w:r w:rsidRPr="00AD1C8A">
      <w:rPr>
        <w:rFonts w:ascii="Arial Narrow" w:hAnsi="Arial Narrow" w:cs="Arial"/>
        <w:b/>
        <w:bCs/>
        <w:noProof/>
        <w:color w:val="000000"/>
        <w:kern w:val="24"/>
        <w:sz w:val="24"/>
        <w:szCs w:val="24"/>
        <w:lang w:eastAsia="fr-FR"/>
      </w:rPr>
      <w:drawing>
        <wp:anchor distT="0" distB="0" distL="114300" distR="114300" simplePos="0" relativeHeight="251661312" behindDoc="0" locked="0" layoutInCell="1" allowOverlap="1" wp14:anchorId="3E53085A" wp14:editId="12743027">
          <wp:simplePos x="0" y="0"/>
          <wp:positionH relativeFrom="column">
            <wp:posOffset>5910250</wp:posOffset>
          </wp:positionH>
          <wp:positionV relativeFrom="paragraph">
            <wp:posOffset>-138430</wp:posOffset>
          </wp:positionV>
          <wp:extent cx="775970" cy="808990"/>
          <wp:effectExtent l="0" t="0" r="5080" b="0"/>
          <wp:wrapNone/>
          <wp:docPr id="41" name="Image 40"/>
          <wp:cNvGraphicFramePr/>
          <a:graphic xmlns:a="http://schemas.openxmlformats.org/drawingml/2006/main">
            <a:graphicData uri="http://schemas.openxmlformats.org/drawingml/2006/picture">
              <pic:pic xmlns:pic="http://schemas.openxmlformats.org/drawingml/2006/picture">
                <pic:nvPicPr>
                  <pic:cNvPr id="41" name="Image 40"/>
                  <pic:cNvPicPr/>
                </pic:nvPicPr>
                <pic:blipFill rotWithShape="1">
                  <a:blip r:embed="rId1" cstate="print">
                    <a:extLst>
                      <a:ext uri="{28A0092B-C50C-407E-A947-70E740481C1C}">
                        <a14:useLocalDpi xmlns:a14="http://schemas.microsoft.com/office/drawing/2010/main" val="0"/>
                      </a:ext>
                    </a:extLst>
                  </a:blip>
                  <a:srcRect l="23205" t="17863" r="16022" b="15292"/>
                  <a:stretch/>
                </pic:blipFill>
                <pic:spPr bwMode="auto">
                  <a:xfrm>
                    <a:off x="0" y="0"/>
                    <a:ext cx="775970" cy="808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1F2F">
      <w:rPr>
        <w:rFonts w:ascii="Arial Narrow" w:hAnsi="Arial Narrow"/>
        <w:i/>
        <w:noProof/>
        <w:sz w:val="8"/>
        <w:u w:val="single" w:color="000000" w:themeColor="text1"/>
        <w:lang w:eastAsia="fr-FR"/>
      </w:rPr>
      <w:drawing>
        <wp:anchor distT="0" distB="0" distL="114300" distR="114300" simplePos="0" relativeHeight="251660288" behindDoc="0" locked="0" layoutInCell="1" allowOverlap="1" wp14:anchorId="0E67F846" wp14:editId="45AC606F">
          <wp:simplePos x="0" y="0"/>
          <wp:positionH relativeFrom="column">
            <wp:posOffset>-150495</wp:posOffset>
          </wp:positionH>
          <wp:positionV relativeFrom="paragraph">
            <wp:posOffset>-62535</wp:posOffset>
          </wp:positionV>
          <wp:extent cx="665683" cy="761767"/>
          <wp:effectExtent l="0" t="0" r="1270" b="63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683" cy="761767"/>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271F2F" w:rsidRPr="004339DC">
      <w:rPr>
        <w:rFonts w:ascii="Arial Narrow" w:hAnsi="Arial Narrow" w:cs="Arial"/>
        <w:b/>
        <w:bCs/>
        <w:color w:val="000000"/>
        <w:sz w:val="28"/>
        <w:szCs w:val="24"/>
        <w:u w:val="single"/>
      </w:rPr>
      <w:t>BAC PRO métiers de l’électricité et de ses environnements connectés</w:t>
    </w:r>
  </w:p>
  <w:p w:rsidR="00271F2F" w:rsidRPr="004339DC" w:rsidRDefault="00271F2F" w:rsidP="00271F2F">
    <w:pPr>
      <w:pStyle w:val="En-tte"/>
      <w:tabs>
        <w:tab w:val="clear" w:pos="4536"/>
        <w:tab w:val="clear" w:pos="9072"/>
      </w:tabs>
      <w:ind w:left="1134" w:right="1132"/>
      <w:jc w:val="center"/>
      <w:rPr>
        <w:rFonts w:ascii="Arial Narrow" w:hAnsi="Arial Narrow" w:cs="Arial"/>
        <w:b/>
        <w:bCs/>
        <w:color w:val="000000"/>
        <w:kern w:val="24"/>
        <w:sz w:val="10"/>
        <w:szCs w:val="24"/>
      </w:rPr>
    </w:pPr>
  </w:p>
  <w:p w:rsidR="00271F2F" w:rsidRDefault="00271F2F" w:rsidP="00271F2F">
    <w:pPr>
      <w:pStyle w:val="En-tte"/>
      <w:tabs>
        <w:tab w:val="clear" w:pos="4536"/>
        <w:tab w:val="clear" w:pos="9072"/>
      </w:tabs>
      <w:ind w:left="1134" w:right="1132"/>
      <w:jc w:val="center"/>
      <w:rPr>
        <w:rFonts w:ascii="Arial Narrow" w:hAnsi="Arial Narrow" w:cs="Arial"/>
        <w:b/>
        <w:bCs/>
        <w:color w:val="000000"/>
        <w:kern w:val="24"/>
        <w:sz w:val="28"/>
        <w:szCs w:val="24"/>
      </w:rPr>
    </w:pPr>
    <w:r w:rsidRPr="004339DC">
      <w:rPr>
        <w:rFonts w:ascii="Arial Narrow" w:hAnsi="Arial Narrow" w:cs="Arial"/>
        <w:b/>
        <w:bCs/>
        <w:color w:val="000000"/>
        <w:kern w:val="24"/>
        <w:sz w:val="24"/>
        <w:szCs w:val="24"/>
      </w:rPr>
      <w:t>Repère pour la formation</w:t>
    </w:r>
  </w:p>
  <w:p w:rsidR="00271F2F" w:rsidRPr="004339DC" w:rsidRDefault="00271F2F" w:rsidP="00271F2F">
    <w:pPr>
      <w:pStyle w:val="En-tte"/>
      <w:tabs>
        <w:tab w:val="clear" w:pos="4536"/>
        <w:tab w:val="clear" w:pos="9072"/>
      </w:tabs>
      <w:ind w:left="1134" w:right="1132"/>
      <w:jc w:val="center"/>
      <w:rPr>
        <w:rFonts w:ascii="Arial Narrow" w:hAnsi="Arial Narrow"/>
        <w:sz w:val="10"/>
        <w:szCs w:val="24"/>
      </w:rPr>
    </w:pPr>
  </w:p>
  <w:p w:rsidR="00271F2F" w:rsidRDefault="00271F2F" w:rsidP="00271F2F">
    <w:pPr>
      <w:pStyle w:val="En-tte"/>
      <w:tabs>
        <w:tab w:val="clear" w:pos="4536"/>
        <w:tab w:val="clear" w:pos="9072"/>
      </w:tabs>
      <w:ind w:left="1134" w:right="1132"/>
      <w:rPr>
        <w:rFonts w:ascii="Arial Narrow" w:hAnsi="Arial Narrow"/>
        <w:b/>
        <w:i/>
        <w:sz w:val="16"/>
      </w:rPr>
    </w:pPr>
    <w:r>
      <w:rPr>
        <w:rFonts w:ascii="Arial Narrow" w:hAnsi="Arial Narrow"/>
        <w:i/>
        <w:sz w:val="16"/>
      </w:rPr>
      <w:t xml:space="preserve">       Version du </w:t>
    </w:r>
    <w:r w:rsidR="00D90212">
      <w:rPr>
        <w:rFonts w:ascii="Arial Narrow" w:hAnsi="Arial Narrow"/>
        <w:i/>
        <w:sz w:val="16"/>
      </w:rPr>
      <w:t>28</w:t>
    </w:r>
    <w:r>
      <w:rPr>
        <w:rFonts w:ascii="Arial Narrow" w:hAnsi="Arial Narrow"/>
        <w:i/>
        <w:sz w:val="16"/>
      </w:rPr>
      <w:t xml:space="preserve"> avril 2016 </w:t>
    </w:r>
    <w:r>
      <w:rPr>
        <w:rFonts w:ascii="Arial Narrow" w:hAnsi="Arial Narrow"/>
        <w:i/>
        <w:sz w:val="16"/>
      </w:rPr>
      <w:tab/>
    </w:r>
    <w:r>
      <w:rPr>
        <w:rFonts w:ascii="Arial Narrow" w:hAnsi="Arial Narrow"/>
        <w:i/>
        <w:sz w:val="16"/>
      </w:rPr>
      <w:tab/>
    </w:r>
    <w:r>
      <w:rPr>
        <w:rFonts w:ascii="Arial Narrow" w:hAnsi="Arial Narrow"/>
        <w:i/>
        <w:sz w:val="16"/>
      </w:rPr>
      <w:tab/>
    </w:r>
    <w:r>
      <w:rPr>
        <w:rFonts w:ascii="Arial Narrow" w:hAnsi="Arial Narrow"/>
        <w:i/>
        <w:sz w:val="16"/>
      </w:rPr>
      <w:tab/>
    </w:r>
    <w:r>
      <w:rPr>
        <w:rFonts w:ascii="Arial Narrow" w:hAnsi="Arial Narrow"/>
        <w:i/>
        <w:sz w:val="16"/>
      </w:rPr>
      <w:tab/>
    </w:r>
    <w:r>
      <w:rPr>
        <w:rFonts w:ascii="Arial Narrow" w:hAnsi="Arial Narrow"/>
        <w:i/>
        <w:sz w:val="16"/>
      </w:rPr>
      <w:tab/>
    </w:r>
    <w:r>
      <w:rPr>
        <w:rFonts w:ascii="Arial Narrow" w:hAnsi="Arial Narrow"/>
        <w:i/>
        <w:sz w:val="16"/>
      </w:rPr>
      <w:tab/>
    </w:r>
    <w:r>
      <w:rPr>
        <w:rFonts w:ascii="Arial Narrow" w:hAnsi="Arial Narrow"/>
        <w:i/>
        <w:sz w:val="16"/>
      </w:rPr>
      <w:tab/>
    </w:r>
    <w:r w:rsidRPr="004339DC">
      <w:rPr>
        <w:rFonts w:ascii="Arial Narrow" w:hAnsi="Arial Narrow"/>
        <w:i/>
        <w:sz w:val="16"/>
      </w:rPr>
      <w:t xml:space="preserve">Page </w:t>
    </w:r>
    <w:r w:rsidRPr="004339DC">
      <w:rPr>
        <w:rFonts w:ascii="Arial Narrow" w:hAnsi="Arial Narrow"/>
        <w:b/>
        <w:i/>
        <w:sz w:val="16"/>
      </w:rPr>
      <w:fldChar w:fldCharType="begin"/>
    </w:r>
    <w:r w:rsidRPr="004339DC">
      <w:rPr>
        <w:rFonts w:ascii="Arial Narrow" w:hAnsi="Arial Narrow"/>
        <w:b/>
        <w:i/>
        <w:sz w:val="16"/>
      </w:rPr>
      <w:instrText>PAGE  \* Arabic  \* MERGEFORMAT</w:instrText>
    </w:r>
    <w:r w:rsidRPr="004339DC">
      <w:rPr>
        <w:rFonts w:ascii="Arial Narrow" w:hAnsi="Arial Narrow"/>
        <w:b/>
        <w:i/>
        <w:sz w:val="16"/>
      </w:rPr>
      <w:fldChar w:fldCharType="separate"/>
    </w:r>
    <w:r w:rsidR="00D90212">
      <w:rPr>
        <w:rFonts w:ascii="Arial Narrow" w:hAnsi="Arial Narrow"/>
        <w:b/>
        <w:i/>
        <w:noProof/>
        <w:sz w:val="16"/>
      </w:rPr>
      <w:t>1</w:t>
    </w:r>
    <w:r w:rsidRPr="004339DC">
      <w:rPr>
        <w:rFonts w:ascii="Arial Narrow" w:hAnsi="Arial Narrow"/>
        <w:b/>
        <w:i/>
        <w:sz w:val="16"/>
      </w:rPr>
      <w:fldChar w:fldCharType="end"/>
    </w:r>
    <w:r w:rsidRPr="004339DC">
      <w:rPr>
        <w:rFonts w:ascii="Arial Narrow" w:hAnsi="Arial Narrow"/>
        <w:i/>
        <w:sz w:val="16"/>
      </w:rPr>
      <w:t>/</w:t>
    </w:r>
    <w:r w:rsidRPr="004339DC">
      <w:rPr>
        <w:rFonts w:ascii="Arial Narrow" w:hAnsi="Arial Narrow"/>
        <w:b/>
        <w:i/>
        <w:sz w:val="16"/>
      </w:rPr>
      <w:fldChar w:fldCharType="begin"/>
    </w:r>
    <w:r w:rsidRPr="004339DC">
      <w:rPr>
        <w:rFonts w:ascii="Arial Narrow" w:hAnsi="Arial Narrow"/>
        <w:b/>
        <w:i/>
        <w:sz w:val="16"/>
      </w:rPr>
      <w:instrText>NUMPAGES  \* Arabic  \* MERGEFORMAT</w:instrText>
    </w:r>
    <w:r w:rsidRPr="004339DC">
      <w:rPr>
        <w:rFonts w:ascii="Arial Narrow" w:hAnsi="Arial Narrow"/>
        <w:b/>
        <w:i/>
        <w:sz w:val="16"/>
      </w:rPr>
      <w:fldChar w:fldCharType="separate"/>
    </w:r>
    <w:r w:rsidR="00D90212">
      <w:rPr>
        <w:rFonts w:ascii="Arial Narrow" w:hAnsi="Arial Narrow"/>
        <w:b/>
        <w:i/>
        <w:noProof/>
        <w:sz w:val="16"/>
      </w:rPr>
      <w:t>2</w:t>
    </w:r>
    <w:r w:rsidRPr="004339DC">
      <w:rPr>
        <w:rFonts w:ascii="Arial Narrow" w:hAnsi="Arial Narrow"/>
        <w:b/>
        <w:i/>
        <w:sz w:val="16"/>
      </w:rPr>
      <w:fldChar w:fldCharType="end"/>
    </w:r>
  </w:p>
  <w:p w:rsidR="00271F2F" w:rsidRPr="00A30E7A" w:rsidRDefault="00271F2F" w:rsidP="00271F2F">
    <w:pPr>
      <w:pStyle w:val="En-tte"/>
      <w:pBdr>
        <w:bottom w:val="single" w:sz="18" w:space="1" w:color="33CC33"/>
      </w:pBdr>
      <w:tabs>
        <w:tab w:val="clear" w:pos="4536"/>
        <w:tab w:val="clear" w:pos="9072"/>
      </w:tabs>
      <w:ind w:left="-567" w:right="-569"/>
      <w:jc w:val="center"/>
      <w:rPr>
        <w:rFonts w:ascii="Arial Narrow" w:hAnsi="Arial Narrow"/>
        <w:i/>
        <w:sz w:val="8"/>
        <w:u w:val="single" w:color="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4125"/>
    <w:multiLevelType w:val="hybridMultilevel"/>
    <w:tmpl w:val="7CF42E76"/>
    <w:lvl w:ilvl="0" w:tplc="A6024B38">
      <w:numFmt w:val="bullet"/>
      <w:lvlText w:val="•"/>
      <w:lvlJc w:val="left"/>
      <w:pPr>
        <w:ind w:left="927" w:hanging="360"/>
      </w:pPr>
      <w:rPr>
        <w:rFonts w:ascii="Arial" w:eastAsiaTheme="minorHAnsi"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1">
    <w:nsid w:val="0B14207F"/>
    <w:multiLevelType w:val="multilevel"/>
    <w:tmpl w:val="B240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1C2BF9"/>
    <w:multiLevelType w:val="multilevel"/>
    <w:tmpl w:val="6CDCA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B0368B"/>
    <w:multiLevelType w:val="hybridMultilevel"/>
    <w:tmpl w:val="AC107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F57A07"/>
    <w:multiLevelType w:val="multilevel"/>
    <w:tmpl w:val="44A84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8453BDB"/>
    <w:multiLevelType w:val="hybridMultilevel"/>
    <w:tmpl w:val="EF3A3D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462076C"/>
    <w:multiLevelType w:val="hybridMultilevel"/>
    <w:tmpl w:val="D93417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B304FB3"/>
    <w:multiLevelType w:val="hybridMultilevel"/>
    <w:tmpl w:val="9C9EDCF6"/>
    <w:lvl w:ilvl="0" w:tplc="474A48AE">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681AD1"/>
    <w:multiLevelType w:val="multilevel"/>
    <w:tmpl w:val="EA9E5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D80274B"/>
    <w:multiLevelType w:val="hybridMultilevel"/>
    <w:tmpl w:val="549EC5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B484566"/>
    <w:multiLevelType w:val="multilevel"/>
    <w:tmpl w:val="18084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CD9624A"/>
    <w:multiLevelType w:val="hybridMultilevel"/>
    <w:tmpl w:val="CAACB37C"/>
    <w:lvl w:ilvl="0" w:tplc="D1623926">
      <w:start w:val="1"/>
      <w:numFmt w:val="upperRoman"/>
      <w:lvlText w:val="%1."/>
      <w:lvlJc w:val="right"/>
      <w:pPr>
        <w:ind w:left="720" w:hanging="360"/>
      </w:pPr>
      <w:rPr>
        <w:rFonts w:hint="default"/>
        <w:b/>
        <w:i w:val="0"/>
        <w:sz w:val="22"/>
      </w:rPr>
    </w:lvl>
    <w:lvl w:ilvl="1" w:tplc="66E6F586">
      <w:start w:val="1"/>
      <w:numFmt w:val="upperRoman"/>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0615645"/>
    <w:multiLevelType w:val="hybridMultilevel"/>
    <w:tmpl w:val="96386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C12FAD"/>
    <w:multiLevelType w:val="hybridMultilevel"/>
    <w:tmpl w:val="78CA5F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4A33571"/>
    <w:multiLevelType w:val="hybridMultilevel"/>
    <w:tmpl w:val="D3D2D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634166"/>
    <w:multiLevelType w:val="hybridMultilevel"/>
    <w:tmpl w:val="4858D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FEA6ABE"/>
    <w:multiLevelType w:val="multilevel"/>
    <w:tmpl w:val="B3A0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1427D59"/>
    <w:multiLevelType w:val="multilevel"/>
    <w:tmpl w:val="03820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1EA0FD9"/>
    <w:multiLevelType w:val="hybridMultilevel"/>
    <w:tmpl w:val="B6A439A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63644F62"/>
    <w:multiLevelType w:val="hybridMultilevel"/>
    <w:tmpl w:val="31FE2438"/>
    <w:lvl w:ilvl="0" w:tplc="587C2512">
      <w:numFmt w:val="bullet"/>
      <w:lvlText w:val="-"/>
      <w:lvlJc w:val="left"/>
      <w:pPr>
        <w:ind w:left="1354" w:hanging="360"/>
      </w:pPr>
      <w:rPr>
        <w:rFonts w:ascii="Arial" w:eastAsia="Arial" w:hAnsi="Arial" w:cs="Arial" w:hint="default"/>
      </w:rPr>
    </w:lvl>
    <w:lvl w:ilvl="1" w:tplc="040C0003" w:tentative="1">
      <w:start w:val="1"/>
      <w:numFmt w:val="bullet"/>
      <w:lvlText w:val="o"/>
      <w:lvlJc w:val="left"/>
      <w:pPr>
        <w:ind w:left="2074" w:hanging="360"/>
      </w:pPr>
      <w:rPr>
        <w:rFonts w:ascii="Courier New" w:hAnsi="Courier New" w:cs="Courier New" w:hint="default"/>
      </w:rPr>
    </w:lvl>
    <w:lvl w:ilvl="2" w:tplc="040C0005" w:tentative="1">
      <w:start w:val="1"/>
      <w:numFmt w:val="bullet"/>
      <w:lvlText w:val=""/>
      <w:lvlJc w:val="left"/>
      <w:pPr>
        <w:ind w:left="2794" w:hanging="360"/>
      </w:pPr>
      <w:rPr>
        <w:rFonts w:ascii="Wingdings" w:hAnsi="Wingdings" w:hint="default"/>
      </w:rPr>
    </w:lvl>
    <w:lvl w:ilvl="3" w:tplc="040C0001" w:tentative="1">
      <w:start w:val="1"/>
      <w:numFmt w:val="bullet"/>
      <w:lvlText w:val=""/>
      <w:lvlJc w:val="left"/>
      <w:pPr>
        <w:ind w:left="3514" w:hanging="360"/>
      </w:pPr>
      <w:rPr>
        <w:rFonts w:ascii="Symbol" w:hAnsi="Symbol" w:hint="default"/>
      </w:rPr>
    </w:lvl>
    <w:lvl w:ilvl="4" w:tplc="040C0003" w:tentative="1">
      <w:start w:val="1"/>
      <w:numFmt w:val="bullet"/>
      <w:lvlText w:val="o"/>
      <w:lvlJc w:val="left"/>
      <w:pPr>
        <w:ind w:left="4234" w:hanging="360"/>
      </w:pPr>
      <w:rPr>
        <w:rFonts w:ascii="Courier New" w:hAnsi="Courier New" w:cs="Courier New" w:hint="default"/>
      </w:rPr>
    </w:lvl>
    <w:lvl w:ilvl="5" w:tplc="040C0005" w:tentative="1">
      <w:start w:val="1"/>
      <w:numFmt w:val="bullet"/>
      <w:lvlText w:val=""/>
      <w:lvlJc w:val="left"/>
      <w:pPr>
        <w:ind w:left="4954" w:hanging="360"/>
      </w:pPr>
      <w:rPr>
        <w:rFonts w:ascii="Wingdings" w:hAnsi="Wingdings" w:hint="default"/>
      </w:rPr>
    </w:lvl>
    <w:lvl w:ilvl="6" w:tplc="040C0001" w:tentative="1">
      <w:start w:val="1"/>
      <w:numFmt w:val="bullet"/>
      <w:lvlText w:val=""/>
      <w:lvlJc w:val="left"/>
      <w:pPr>
        <w:ind w:left="5674" w:hanging="360"/>
      </w:pPr>
      <w:rPr>
        <w:rFonts w:ascii="Symbol" w:hAnsi="Symbol" w:hint="default"/>
      </w:rPr>
    </w:lvl>
    <w:lvl w:ilvl="7" w:tplc="040C0003" w:tentative="1">
      <w:start w:val="1"/>
      <w:numFmt w:val="bullet"/>
      <w:lvlText w:val="o"/>
      <w:lvlJc w:val="left"/>
      <w:pPr>
        <w:ind w:left="6394" w:hanging="360"/>
      </w:pPr>
      <w:rPr>
        <w:rFonts w:ascii="Courier New" w:hAnsi="Courier New" w:cs="Courier New" w:hint="default"/>
      </w:rPr>
    </w:lvl>
    <w:lvl w:ilvl="8" w:tplc="040C0005" w:tentative="1">
      <w:start w:val="1"/>
      <w:numFmt w:val="bullet"/>
      <w:lvlText w:val=""/>
      <w:lvlJc w:val="left"/>
      <w:pPr>
        <w:ind w:left="7114" w:hanging="360"/>
      </w:pPr>
      <w:rPr>
        <w:rFonts w:ascii="Wingdings" w:hAnsi="Wingdings" w:hint="default"/>
      </w:rPr>
    </w:lvl>
  </w:abstractNum>
  <w:abstractNum w:abstractNumId="20">
    <w:nsid w:val="694C6753"/>
    <w:multiLevelType w:val="hybridMultilevel"/>
    <w:tmpl w:val="304C4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44D789B"/>
    <w:multiLevelType w:val="hybridMultilevel"/>
    <w:tmpl w:val="CFDEF88C"/>
    <w:lvl w:ilvl="0" w:tplc="CF22C7AC">
      <w:start w:val="1"/>
      <w:numFmt w:val="bullet"/>
      <w:pStyle w:val="Paragraphedeliste"/>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nsid w:val="756460AB"/>
    <w:multiLevelType w:val="hybridMultilevel"/>
    <w:tmpl w:val="70ACF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5F7FE8"/>
    <w:multiLevelType w:val="hybridMultilevel"/>
    <w:tmpl w:val="BF8E2ADA"/>
    <w:lvl w:ilvl="0" w:tplc="49989F2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9"/>
  </w:num>
  <w:num w:numId="4">
    <w:abstractNumId w:val="18"/>
  </w:num>
  <w:num w:numId="5">
    <w:abstractNumId w:val="23"/>
  </w:num>
  <w:num w:numId="6">
    <w:abstractNumId w:val="0"/>
  </w:num>
  <w:num w:numId="7">
    <w:abstractNumId w:val="0"/>
  </w:num>
  <w:num w:numId="8">
    <w:abstractNumId w:val="9"/>
  </w:num>
  <w:num w:numId="9">
    <w:abstractNumId w:val="6"/>
  </w:num>
  <w:num w:numId="10">
    <w:abstractNumId w:val="13"/>
  </w:num>
  <w:num w:numId="11">
    <w:abstractNumId w:val="14"/>
  </w:num>
  <w:num w:numId="12">
    <w:abstractNumId w:val="5"/>
  </w:num>
  <w:num w:numId="13">
    <w:abstractNumId w:val="4"/>
  </w:num>
  <w:num w:numId="14">
    <w:abstractNumId w:val="10"/>
  </w:num>
  <w:num w:numId="15">
    <w:abstractNumId w:val="2"/>
  </w:num>
  <w:num w:numId="16">
    <w:abstractNumId w:val="8"/>
  </w:num>
  <w:num w:numId="17">
    <w:abstractNumId w:val="17"/>
  </w:num>
  <w:num w:numId="18">
    <w:abstractNumId w:val="16"/>
  </w:num>
  <w:num w:numId="19">
    <w:abstractNumId w:val="1"/>
  </w:num>
  <w:num w:numId="20">
    <w:abstractNumId w:val="7"/>
  </w:num>
  <w:num w:numId="21">
    <w:abstractNumId w:val="15"/>
  </w:num>
  <w:num w:numId="22">
    <w:abstractNumId w:val="3"/>
  </w:num>
  <w:num w:numId="23">
    <w:abstractNumId w:val="12"/>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79"/>
    <w:rsid w:val="00071E28"/>
    <w:rsid w:val="000C6322"/>
    <w:rsid w:val="000D53C6"/>
    <w:rsid w:val="00152ACD"/>
    <w:rsid w:val="0015517A"/>
    <w:rsid w:val="001852C8"/>
    <w:rsid w:val="00196D8B"/>
    <w:rsid w:val="001D0FC7"/>
    <w:rsid w:val="001D501D"/>
    <w:rsid w:val="00247DB2"/>
    <w:rsid w:val="00271F2F"/>
    <w:rsid w:val="002C2609"/>
    <w:rsid w:val="00335122"/>
    <w:rsid w:val="003A444C"/>
    <w:rsid w:val="003F7198"/>
    <w:rsid w:val="004339DC"/>
    <w:rsid w:val="004A1770"/>
    <w:rsid w:val="004C434D"/>
    <w:rsid w:val="004E110F"/>
    <w:rsid w:val="004E5411"/>
    <w:rsid w:val="00514598"/>
    <w:rsid w:val="00517D8D"/>
    <w:rsid w:val="005427A6"/>
    <w:rsid w:val="005921D6"/>
    <w:rsid w:val="0062043C"/>
    <w:rsid w:val="006269C4"/>
    <w:rsid w:val="00627F9D"/>
    <w:rsid w:val="006556FE"/>
    <w:rsid w:val="00696E30"/>
    <w:rsid w:val="006E6DB8"/>
    <w:rsid w:val="00705557"/>
    <w:rsid w:val="00746D8A"/>
    <w:rsid w:val="00750451"/>
    <w:rsid w:val="007A2B92"/>
    <w:rsid w:val="007B27D7"/>
    <w:rsid w:val="008238F6"/>
    <w:rsid w:val="00975FE7"/>
    <w:rsid w:val="00A30E7A"/>
    <w:rsid w:val="00A63D98"/>
    <w:rsid w:val="00A810B9"/>
    <w:rsid w:val="00AD1387"/>
    <w:rsid w:val="00AD1C8A"/>
    <w:rsid w:val="00B42AB9"/>
    <w:rsid w:val="00B55C5F"/>
    <w:rsid w:val="00B72443"/>
    <w:rsid w:val="00B92AE8"/>
    <w:rsid w:val="00BA37DF"/>
    <w:rsid w:val="00C331F0"/>
    <w:rsid w:val="00CE7FD9"/>
    <w:rsid w:val="00D1296E"/>
    <w:rsid w:val="00D36E71"/>
    <w:rsid w:val="00D61179"/>
    <w:rsid w:val="00D90212"/>
    <w:rsid w:val="00D93B79"/>
    <w:rsid w:val="00DB7728"/>
    <w:rsid w:val="00E0086F"/>
    <w:rsid w:val="00E12B70"/>
    <w:rsid w:val="00E15A80"/>
    <w:rsid w:val="00E365DC"/>
    <w:rsid w:val="00E90F45"/>
    <w:rsid w:val="00FE39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79"/>
    <w:pPr>
      <w:spacing w:after="0"/>
    </w:pPr>
    <w:rPr>
      <w:rFonts w:ascii="Arial" w:eastAsia="Calibri" w:hAnsi="Arial" w:cs="Times New Roman"/>
      <w:sz w:val="20"/>
    </w:rPr>
  </w:style>
  <w:style w:type="paragraph" w:styleId="Titre2">
    <w:name w:val="heading 2"/>
    <w:basedOn w:val="Normal"/>
    <w:link w:val="Titre2Car"/>
    <w:uiPriority w:val="9"/>
    <w:semiHidden/>
    <w:unhideWhenUsed/>
    <w:qFormat/>
    <w:rsid w:val="006269C4"/>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B79"/>
    <w:pPr>
      <w:numPr>
        <w:numId w:val="1"/>
      </w:numPr>
      <w:contextualSpacing/>
    </w:pPr>
  </w:style>
  <w:style w:type="paragraph" w:customStyle="1" w:styleId="Texte">
    <w:name w:val="Texte"/>
    <w:basedOn w:val="Normal"/>
    <w:qFormat/>
    <w:rsid w:val="00D93B79"/>
    <w:pPr>
      <w:spacing w:before="60" w:line="240" w:lineRule="auto"/>
      <w:ind w:firstLine="709"/>
    </w:pPr>
    <w:rPr>
      <w:rFonts w:eastAsia="Times New Roman" w:cs="Arial"/>
      <w:szCs w:val="24"/>
      <w:lang w:eastAsia="fr-FR"/>
    </w:rPr>
  </w:style>
  <w:style w:type="paragraph" w:styleId="En-tte">
    <w:name w:val="header"/>
    <w:basedOn w:val="Normal"/>
    <w:link w:val="En-tteCar"/>
    <w:uiPriority w:val="99"/>
    <w:unhideWhenUsed/>
    <w:rsid w:val="0015517A"/>
    <w:pPr>
      <w:tabs>
        <w:tab w:val="center" w:pos="4536"/>
        <w:tab w:val="right" w:pos="9072"/>
      </w:tabs>
      <w:spacing w:line="240" w:lineRule="auto"/>
    </w:pPr>
  </w:style>
  <w:style w:type="character" w:customStyle="1" w:styleId="En-tteCar">
    <w:name w:val="En-tête Car"/>
    <w:basedOn w:val="Policepardfaut"/>
    <w:link w:val="En-tte"/>
    <w:uiPriority w:val="99"/>
    <w:rsid w:val="0015517A"/>
    <w:rPr>
      <w:rFonts w:ascii="Arial" w:eastAsia="Calibri" w:hAnsi="Arial" w:cs="Times New Roman"/>
      <w:sz w:val="20"/>
    </w:rPr>
  </w:style>
  <w:style w:type="paragraph" w:styleId="Pieddepage">
    <w:name w:val="footer"/>
    <w:basedOn w:val="Normal"/>
    <w:link w:val="PieddepageCar"/>
    <w:uiPriority w:val="99"/>
    <w:unhideWhenUsed/>
    <w:rsid w:val="0015517A"/>
    <w:pPr>
      <w:tabs>
        <w:tab w:val="center" w:pos="4536"/>
        <w:tab w:val="right" w:pos="9072"/>
      </w:tabs>
      <w:spacing w:line="240" w:lineRule="auto"/>
    </w:pPr>
  </w:style>
  <w:style w:type="character" w:customStyle="1" w:styleId="PieddepageCar">
    <w:name w:val="Pied de page Car"/>
    <w:basedOn w:val="Policepardfaut"/>
    <w:link w:val="Pieddepage"/>
    <w:uiPriority w:val="99"/>
    <w:rsid w:val="0015517A"/>
    <w:rPr>
      <w:rFonts w:ascii="Arial" w:eastAsia="Calibri" w:hAnsi="Arial" w:cs="Times New Roman"/>
      <w:sz w:val="20"/>
    </w:rPr>
  </w:style>
  <w:style w:type="paragraph" w:styleId="NormalWeb">
    <w:name w:val="Normal (Web)"/>
    <w:basedOn w:val="Normal"/>
    <w:uiPriority w:val="99"/>
    <w:semiHidden/>
    <w:unhideWhenUsed/>
    <w:rsid w:val="0015517A"/>
    <w:pPr>
      <w:spacing w:before="100" w:beforeAutospacing="1" w:after="100" w:afterAutospacing="1" w:line="240" w:lineRule="auto"/>
    </w:pPr>
    <w:rPr>
      <w:rFonts w:ascii="Times New Roman" w:eastAsiaTheme="minorEastAsia" w:hAnsi="Times New Roman"/>
      <w:sz w:val="24"/>
      <w:szCs w:val="24"/>
      <w:lang w:eastAsia="fr-FR"/>
    </w:rPr>
  </w:style>
  <w:style w:type="paragraph" w:styleId="Textedebulles">
    <w:name w:val="Balloon Text"/>
    <w:basedOn w:val="Normal"/>
    <w:link w:val="TextedebullesCar"/>
    <w:uiPriority w:val="99"/>
    <w:semiHidden/>
    <w:unhideWhenUsed/>
    <w:rsid w:val="0015517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17A"/>
    <w:rPr>
      <w:rFonts w:ascii="Tahoma" w:eastAsia="Calibri" w:hAnsi="Tahoma" w:cs="Tahoma"/>
      <w:sz w:val="16"/>
      <w:szCs w:val="16"/>
    </w:rPr>
  </w:style>
  <w:style w:type="paragraph" w:customStyle="1" w:styleId="Tableau">
    <w:name w:val="Tableau"/>
    <w:basedOn w:val="Normal"/>
    <w:link w:val="TableauCar"/>
    <w:qFormat/>
    <w:rsid w:val="003F7198"/>
    <w:pPr>
      <w:spacing w:line="240" w:lineRule="auto"/>
      <w:jc w:val="center"/>
    </w:pPr>
    <w:rPr>
      <w:rFonts w:ascii="Verdana" w:eastAsia="Times New Roman" w:hAnsi="Verdana"/>
      <w:b/>
      <w:bCs/>
      <w:szCs w:val="24"/>
      <w:lang w:eastAsia="fr-FR"/>
    </w:rPr>
  </w:style>
  <w:style w:type="character" w:customStyle="1" w:styleId="TableauCar">
    <w:name w:val="Tableau Car"/>
    <w:link w:val="Tableau"/>
    <w:rsid w:val="003F7198"/>
    <w:rPr>
      <w:rFonts w:ascii="Verdana" w:eastAsia="Times New Roman" w:hAnsi="Verdana" w:cs="Times New Roman"/>
      <w:b/>
      <w:bCs/>
      <w:sz w:val="20"/>
      <w:szCs w:val="24"/>
      <w:lang w:eastAsia="fr-FR"/>
    </w:rPr>
  </w:style>
  <w:style w:type="paragraph" w:customStyle="1" w:styleId="TITRETP">
    <w:name w:val="TITRE TP"/>
    <w:next w:val="Normal"/>
    <w:autoRedefine/>
    <w:uiPriority w:val="1"/>
    <w:qFormat/>
    <w:rsid w:val="008238F6"/>
    <w:pPr>
      <w:spacing w:before="120" w:after="0" w:line="240" w:lineRule="auto"/>
      <w:ind w:left="425" w:hanging="425"/>
      <w:jc w:val="both"/>
    </w:pPr>
    <w:rPr>
      <w:rFonts w:ascii="Arial" w:eastAsia="Times New Roman" w:hAnsi="Arial" w:cs="Times New Roman"/>
      <w:spacing w:val="5"/>
      <w:kern w:val="28"/>
    </w:rPr>
  </w:style>
  <w:style w:type="paragraph" w:customStyle="1" w:styleId="Paragraphecourant">
    <w:name w:val="Paragraphe courant"/>
    <w:basedOn w:val="Normal"/>
    <w:rsid w:val="008238F6"/>
    <w:pPr>
      <w:autoSpaceDE w:val="0"/>
      <w:autoSpaceDN w:val="0"/>
      <w:spacing w:line="240" w:lineRule="auto"/>
    </w:pPr>
    <w:rPr>
      <w:rFonts w:ascii="Times New Roman" w:eastAsia="Times New Roman" w:hAnsi="Times New Roman"/>
      <w:szCs w:val="20"/>
      <w:lang w:eastAsia="fr-FR"/>
    </w:rPr>
  </w:style>
  <w:style w:type="paragraph" w:customStyle="1" w:styleId="Default">
    <w:name w:val="Default"/>
    <w:uiPriority w:val="99"/>
    <w:rsid w:val="008238F6"/>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Titre2Car">
    <w:name w:val="Titre 2 Car"/>
    <w:basedOn w:val="Policepardfaut"/>
    <w:link w:val="Titre2"/>
    <w:uiPriority w:val="9"/>
    <w:semiHidden/>
    <w:rsid w:val="006269C4"/>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6269C4"/>
    <w:rPr>
      <w:color w:val="0000FF" w:themeColor="hyperlink"/>
      <w:u w:val="single"/>
    </w:rPr>
  </w:style>
  <w:style w:type="character" w:styleId="Lienhypertextesuivivisit">
    <w:name w:val="FollowedHyperlink"/>
    <w:basedOn w:val="Policepardfaut"/>
    <w:uiPriority w:val="99"/>
    <w:semiHidden/>
    <w:unhideWhenUsed/>
    <w:rsid w:val="003A44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79"/>
    <w:pPr>
      <w:spacing w:after="0"/>
    </w:pPr>
    <w:rPr>
      <w:rFonts w:ascii="Arial" w:eastAsia="Calibri" w:hAnsi="Arial" w:cs="Times New Roman"/>
      <w:sz w:val="20"/>
    </w:rPr>
  </w:style>
  <w:style w:type="paragraph" w:styleId="Titre2">
    <w:name w:val="heading 2"/>
    <w:basedOn w:val="Normal"/>
    <w:link w:val="Titre2Car"/>
    <w:uiPriority w:val="9"/>
    <w:semiHidden/>
    <w:unhideWhenUsed/>
    <w:qFormat/>
    <w:rsid w:val="006269C4"/>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B79"/>
    <w:pPr>
      <w:numPr>
        <w:numId w:val="1"/>
      </w:numPr>
      <w:contextualSpacing/>
    </w:pPr>
  </w:style>
  <w:style w:type="paragraph" w:customStyle="1" w:styleId="Texte">
    <w:name w:val="Texte"/>
    <w:basedOn w:val="Normal"/>
    <w:qFormat/>
    <w:rsid w:val="00D93B79"/>
    <w:pPr>
      <w:spacing w:before="60" w:line="240" w:lineRule="auto"/>
      <w:ind w:firstLine="709"/>
    </w:pPr>
    <w:rPr>
      <w:rFonts w:eastAsia="Times New Roman" w:cs="Arial"/>
      <w:szCs w:val="24"/>
      <w:lang w:eastAsia="fr-FR"/>
    </w:rPr>
  </w:style>
  <w:style w:type="paragraph" w:styleId="En-tte">
    <w:name w:val="header"/>
    <w:basedOn w:val="Normal"/>
    <w:link w:val="En-tteCar"/>
    <w:uiPriority w:val="99"/>
    <w:unhideWhenUsed/>
    <w:rsid w:val="0015517A"/>
    <w:pPr>
      <w:tabs>
        <w:tab w:val="center" w:pos="4536"/>
        <w:tab w:val="right" w:pos="9072"/>
      </w:tabs>
      <w:spacing w:line="240" w:lineRule="auto"/>
    </w:pPr>
  </w:style>
  <w:style w:type="character" w:customStyle="1" w:styleId="En-tteCar">
    <w:name w:val="En-tête Car"/>
    <w:basedOn w:val="Policepardfaut"/>
    <w:link w:val="En-tte"/>
    <w:uiPriority w:val="99"/>
    <w:rsid w:val="0015517A"/>
    <w:rPr>
      <w:rFonts w:ascii="Arial" w:eastAsia="Calibri" w:hAnsi="Arial" w:cs="Times New Roman"/>
      <w:sz w:val="20"/>
    </w:rPr>
  </w:style>
  <w:style w:type="paragraph" w:styleId="Pieddepage">
    <w:name w:val="footer"/>
    <w:basedOn w:val="Normal"/>
    <w:link w:val="PieddepageCar"/>
    <w:uiPriority w:val="99"/>
    <w:unhideWhenUsed/>
    <w:rsid w:val="0015517A"/>
    <w:pPr>
      <w:tabs>
        <w:tab w:val="center" w:pos="4536"/>
        <w:tab w:val="right" w:pos="9072"/>
      </w:tabs>
      <w:spacing w:line="240" w:lineRule="auto"/>
    </w:pPr>
  </w:style>
  <w:style w:type="character" w:customStyle="1" w:styleId="PieddepageCar">
    <w:name w:val="Pied de page Car"/>
    <w:basedOn w:val="Policepardfaut"/>
    <w:link w:val="Pieddepage"/>
    <w:uiPriority w:val="99"/>
    <w:rsid w:val="0015517A"/>
    <w:rPr>
      <w:rFonts w:ascii="Arial" w:eastAsia="Calibri" w:hAnsi="Arial" w:cs="Times New Roman"/>
      <w:sz w:val="20"/>
    </w:rPr>
  </w:style>
  <w:style w:type="paragraph" w:styleId="NormalWeb">
    <w:name w:val="Normal (Web)"/>
    <w:basedOn w:val="Normal"/>
    <w:uiPriority w:val="99"/>
    <w:semiHidden/>
    <w:unhideWhenUsed/>
    <w:rsid w:val="0015517A"/>
    <w:pPr>
      <w:spacing w:before="100" w:beforeAutospacing="1" w:after="100" w:afterAutospacing="1" w:line="240" w:lineRule="auto"/>
    </w:pPr>
    <w:rPr>
      <w:rFonts w:ascii="Times New Roman" w:eastAsiaTheme="minorEastAsia" w:hAnsi="Times New Roman"/>
      <w:sz w:val="24"/>
      <w:szCs w:val="24"/>
      <w:lang w:eastAsia="fr-FR"/>
    </w:rPr>
  </w:style>
  <w:style w:type="paragraph" w:styleId="Textedebulles">
    <w:name w:val="Balloon Text"/>
    <w:basedOn w:val="Normal"/>
    <w:link w:val="TextedebullesCar"/>
    <w:uiPriority w:val="99"/>
    <w:semiHidden/>
    <w:unhideWhenUsed/>
    <w:rsid w:val="0015517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17A"/>
    <w:rPr>
      <w:rFonts w:ascii="Tahoma" w:eastAsia="Calibri" w:hAnsi="Tahoma" w:cs="Tahoma"/>
      <w:sz w:val="16"/>
      <w:szCs w:val="16"/>
    </w:rPr>
  </w:style>
  <w:style w:type="paragraph" w:customStyle="1" w:styleId="Tableau">
    <w:name w:val="Tableau"/>
    <w:basedOn w:val="Normal"/>
    <w:link w:val="TableauCar"/>
    <w:qFormat/>
    <w:rsid w:val="003F7198"/>
    <w:pPr>
      <w:spacing w:line="240" w:lineRule="auto"/>
      <w:jc w:val="center"/>
    </w:pPr>
    <w:rPr>
      <w:rFonts w:ascii="Verdana" w:eastAsia="Times New Roman" w:hAnsi="Verdana"/>
      <w:b/>
      <w:bCs/>
      <w:szCs w:val="24"/>
      <w:lang w:eastAsia="fr-FR"/>
    </w:rPr>
  </w:style>
  <w:style w:type="character" w:customStyle="1" w:styleId="TableauCar">
    <w:name w:val="Tableau Car"/>
    <w:link w:val="Tableau"/>
    <w:rsid w:val="003F7198"/>
    <w:rPr>
      <w:rFonts w:ascii="Verdana" w:eastAsia="Times New Roman" w:hAnsi="Verdana" w:cs="Times New Roman"/>
      <w:b/>
      <w:bCs/>
      <w:sz w:val="20"/>
      <w:szCs w:val="24"/>
      <w:lang w:eastAsia="fr-FR"/>
    </w:rPr>
  </w:style>
  <w:style w:type="paragraph" w:customStyle="1" w:styleId="TITRETP">
    <w:name w:val="TITRE TP"/>
    <w:next w:val="Normal"/>
    <w:autoRedefine/>
    <w:uiPriority w:val="1"/>
    <w:qFormat/>
    <w:rsid w:val="008238F6"/>
    <w:pPr>
      <w:spacing w:before="120" w:after="0" w:line="240" w:lineRule="auto"/>
      <w:ind w:left="425" w:hanging="425"/>
      <w:jc w:val="both"/>
    </w:pPr>
    <w:rPr>
      <w:rFonts w:ascii="Arial" w:eastAsia="Times New Roman" w:hAnsi="Arial" w:cs="Times New Roman"/>
      <w:spacing w:val="5"/>
      <w:kern w:val="28"/>
    </w:rPr>
  </w:style>
  <w:style w:type="paragraph" w:customStyle="1" w:styleId="Paragraphecourant">
    <w:name w:val="Paragraphe courant"/>
    <w:basedOn w:val="Normal"/>
    <w:rsid w:val="008238F6"/>
    <w:pPr>
      <w:autoSpaceDE w:val="0"/>
      <w:autoSpaceDN w:val="0"/>
      <w:spacing w:line="240" w:lineRule="auto"/>
    </w:pPr>
    <w:rPr>
      <w:rFonts w:ascii="Times New Roman" w:eastAsia="Times New Roman" w:hAnsi="Times New Roman"/>
      <w:szCs w:val="20"/>
      <w:lang w:eastAsia="fr-FR"/>
    </w:rPr>
  </w:style>
  <w:style w:type="paragraph" w:customStyle="1" w:styleId="Default">
    <w:name w:val="Default"/>
    <w:uiPriority w:val="99"/>
    <w:rsid w:val="008238F6"/>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Titre2Car">
    <w:name w:val="Titre 2 Car"/>
    <w:basedOn w:val="Policepardfaut"/>
    <w:link w:val="Titre2"/>
    <w:uiPriority w:val="9"/>
    <w:semiHidden/>
    <w:rsid w:val="006269C4"/>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6269C4"/>
    <w:rPr>
      <w:color w:val="0000FF" w:themeColor="hyperlink"/>
      <w:u w:val="single"/>
    </w:rPr>
  </w:style>
  <w:style w:type="character" w:styleId="Lienhypertextesuivivisit">
    <w:name w:val="FollowedHyperlink"/>
    <w:basedOn w:val="Policepardfaut"/>
    <w:uiPriority w:val="99"/>
    <w:semiHidden/>
    <w:unhideWhenUsed/>
    <w:rsid w:val="003A44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19969">
      <w:bodyDiv w:val="1"/>
      <w:marLeft w:val="0"/>
      <w:marRight w:val="0"/>
      <w:marTop w:val="0"/>
      <w:marBottom w:val="0"/>
      <w:divBdr>
        <w:top w:val="none" w:sz="0" w:space="0" w:color="auto"/>
        <w:left w:val="none" w:sz="0" w:space="0" w:color="auto"/>
        <w:bottom w:val="none" w:sz="0" w:space="0" w:color="auto"/>
        <w:right w:val="none" w:sz="0" w:space="0" w:color="auto"/>
      </w:divBdr>
    </w:div>
    <w:div w:id="849101566">
      <w:bodyDiv w:val="1"/>
      <w:marLeft w:val="0"/>
      <w:marRight w:val="0"/>
      <w:marTop w:val="0"/>
      <w:marBottom w:val="0"/>
      <w:divBdr>
        <w:top w:val="none" w:sz="0" w:space="0" w:color="auto"/>
        <w:left w:val="none" w:sz="0" w:space="0" w:color="auto"/>
        <w:bottom w:val="none" w:sz="0" w:space="0" w:color="auto"/>
        <w:right w:val="none" w:sz="0" w:space="0" w:color="auto"/>
      </w:divBdr>
    </w:div>
    <w:div w:id="1176723412">
      <w:bodyDiv w:val="1"/>
      <w:marLeft w:val="0"/>
      <w:marRight w:val="0"/>
      <w:marTop w:val="0"/>
      <w:marBottom w:val="0"/>
      <w:divBdr>
        <w:top w:val="none" w:sz="0" w:space="0" w:color="auto"/>
        <w:left w:val="none" w:sz="0" w:space="0" w:color="auto"/>
        <w:bottom w:val="none" w:sz="0" w:space="0" w:color="auto"/>
        <w:right w:val="none" w:sz="0" w:space="0" w:color="auto"/>
      </w:divBdr>
    </w:div>
    <w:div w:id="1191725966">
      <w:bodyDiv w:val="1"/>
      <w:marLeft w:val="0"/>
      <w:marRight w:val="0"/>
      <w:marTop w:val="0"/>
      <w:marBottom w:val="0"/>
      <w:divBdr>
        <w:top w:val="none" w:sz="0" w:space="0" w:color="auto"/>
        <w:left w:val="none" w:sz="0" w:space="0" w:color="auto"/>
        <w:bottom w:val="none" w:sz="0" w:space="0" w:color="auto"/>
        <w:right w:val="none" w:sz="0" w:space="0" w:color="auto"/>
      </w:divBdr>
    </w:div>
    <w:div w:id="142654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3AEF-FC0F-4579-B49C-904FD135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441</Words>
  <Characters>2427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POJOLAT</dc:creator>
  <cp:lastModifiedBy>Claude POJOLAT</cp:lastModifiedBy>
  <cp:revision>5</cp:revision>
  <dcterms:created xsi:type="dcterms:W3CDTF">2016-04-27T09:30:00Z</dcterms:created>
  <dcterms:modified xsi:type="dcterms:W3CDTF">2016-04-28T19:00:00Z</dcterms:modified>
</cp:coreProperties>
</file>