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B79" w:rsidRPr="00A810B9" w:rsidRDefault="002A1628" w:rsidP="004E5411">
      <w:pPr>
        <w:spacing w:before="120" w:line="240" w:lineRule="auto"/>
        <w:jc w:val="center"/>
        <w:rPr>
          <w:rFonts w:cs="Calibri"/>
          <w:sz w:val="28"/>
          <w:u w:val="single"/>
          <w:lang w:eastAsia="fr-FR"/>
        </w:rPr>
      </w:pPr>
      <w:r w:rsidRPr="002A1628">
        <w:rPr>
          <w:rFonts w:cs="Arial"/>
          <w:b/>
          <w:bCs/>
          <w:iCs/>
          <w:sz w:val="28"/>
          <w:highlight w:val="green"/>
          <w:u w:val="single"/>
          <w:lang w:eastAsia="fr-FR"/>
        </w:rPr>
        <w:t xml:space="preserve">LE LIVRET </w:t>
      </w:r>
      <w:r w:rsidR="00F10366">
        <w:rPr>
          <w:rFonts w:cs="Arial"/>
          <w:b/>
          <w:bCs/>
          <w:iCs/>
          <w:sz w:val="28"/>
          <w:highlight w:val="green"/>
          <w:u w:val="single"/>
          <w:lang w:eastAsia="fr-FR"/>
        </w:rPr>
        <w:t>DE SUIVI D’ACQUISITION DES COMPÉ</w:t>
      </w:r>
      <w:r w:rsidRPr="002A1628">
        <w:rPr>
          <w:rFonts w:cs="Arial"/>
          <w:b/>
          <w:bCs/>
          <w:iCs/>
          <w:sz w:val="28"/>
          <w:highlight w:val="green"/>
          <w:u w:val="single"/>
          <w:lang w:eastAsia="fr-FR"/>
        </w:rPr>
        <w:t>TENCES</w:t>
      </w:r>
    </w:p>
    <w:p w:rsidR="00BB193A" w:rsidRPr="007B0A2C" w:rsidRDefault="0090775B" w:rsidP="007B0A2C">
      <w:pPr>
        <w:pStyle w:val="Texte"/>
        <w:spacing w:before="120"/>
        <w:ind w:firstLine="0"/>
        <w:contextualSpacing/>
        <w:jc w:val="both"/>
        <w:rPr>
          <w:sz w:val="22"/>
          <w:szCs w:val="22"/>
        </w:rPr>
      </w:pPr>
      <w:r>
        <w:rPr>
          <w:sz w:val="22"/>
          <w:szCs w:val="22"/>
        </w:rPr>
        <w:t xml:space="preserve"> </w:t>
      </w:r>
      <w:bookmarkStart w:id="0" w:name="_GoBack"/>
      <w:bookmarkEnd w:id="0"/>
    </w:p>
    <w:p w:rsidR="007B0A2C" w:rsidRPr="007B0A2C" w:rsidRDefault="007B0A2C" w:rsidP="007B0A2C">
      <w:pPr>
        <w:spacing w:before="120" w:line="240" w:lineRule="auto"/>
        <w:jc w:val="both"/>
        <w:rPr>
          <w:rFonts w:cs="Arial"/>
          <w:b/>
          <w:sz w:val="22"/>
        </w:rPr>
      </w:pPr>
      <w:r w:rsidRPr="007B0A2C">
        <w:rPr>
          <w:rFonts w:cs="Arial"/>
          <w:b/>
          <w:sz w:val="22"/>
          <w:u w:val="single"/>
        </w:rPr>
        <w:t>Le livret de suivi d’acquisition des compétences</w:t>
      </w:r>
      <w:r w:rsidRPr="007B0A2C">
        <w:rPr>
          <w:rFonts w:cs="Arial"/>
          <w:b/>
          <w:sz w:val="22"/>
        </w:rPr>
        <w:t xml:space="preserve"> : principal outil de la certification </w:t>
      </w:r>
      <w:r w:rsidR="00474DC3">
        <w:rPr>
          <w:rFonts w:cs="Arial"/>
          <w:b/>
          <w:sz w:val="22"/>
        </w:rPr>
        <w:t>« </w:t>
      </w:r>
      <w:r w:rsidRPr="007B0A2C">
        <w:rPr>
          <w:rFonts w:cs="Arial"/>
          <w:b/>
          <w:sz w:val="22"/>
        </w:rPr>
        <w:t>CCF</w:t>
      </w:r>
      <w:r w:rsidR="00474DC3">
        <w:rPr>
          <w:rFonts w:cs="Arial"/>
          <w:b/>
          <w:sz w:val="22"/>
        </w:rPr>
        <w:t xml:space="preserve"> continué »</w:t>
      </w:r>
    </w:p>
    <w:p w:rsidR="007B0A2C" w:rsidRPr="007B0A2C" w:rsidRDefault="007B0A2C" w:rsidP="007B0A2C">
      <w:pPr>
        <w:spacing w:before="120" w:line="240" w:lineRule="auto"/>
        <w:jc w:val="both"/>
        <w:rPr>
          <w:rFonts w:cs="Arial"/>
          <w:sz w:val="22"/>
        </w:rPr>
      </w:pPr>
      <w:r w:rsidRPr="007B0A2C">
        <w:rPr>
          <w:rFonts w:cs="Arial"/>
          <w:sz w:val="22"/>
        </w:rPr>
        <w:t xml:space="preserve">Il constitue le principal support utile pour le suivi de la formation et pour positionner le niveau d’acquisition des compétences. Le bilan terminal des compétences, et donc la notation des épreuves, s’appuie sur cet outil. </w:t>
      </w:r>
    </w:p>
    <w:p w:rsidR="007B0A2C" w:rsidRPr="007B0A2C" w:rsidRDefault="007B0A2C" w:rsidP="007B0A2C">
      <w:pPr>
        <w:spacing w:before="120" w:line="240" w:lineRule="auto"/>
        <w:jc w:val="both"/>
        <w:rPr>
          <w:rFonts w:cs="Arial"/>
          <w:sz w:val="22"/>
        </w:rPr>
      </w:pPr>
      <w:r w:rsidRPr="007B0A2C">
        <w:rPr>
          <w:rFonts w:cs="Arial"/>
          <w:sz w:val="22"/>
        </w:rPr>
        <w:t xml:space="preserve">Il comprend les éléments suivants : </w:t>
      </w:r>
    </w:p>
    <w:p w:rsidR="007B0A2C" w:rsidRPr="007B0A2C" w:rsidRDefault="007B0A2C" w:rsidP="007B0A2C">
      <w:pPr>
        <w:autoSpaceDE w:val="0"/>
        <w:autoSpaceDN w:val="0"/>
        <w:adjustRightInd w:val="0"/>
        <w:spacing w:before="120" w:line="240" w:lineRule="auto"/>
        <w:ind w:left="709" w:hanging="142"/>
        <w:jc w:val="both"/>
        <w:rPr>
          <w:rFonts w:cs="Arial"/>
          <w:sz w:val="22"/>
        </w:rPr>
      </w:pPr>
      <w:r w:rsidRPr="007B0A2C">
        <w:rPr>
          <w:rFonts w:cs="Arial"/>
          <w:sz w:val="22"/>
        </w:rPr>
        <w:t xml:space="preserve">• Descriptifs des activités de formation en centre : les activités et les tâches professionnelles de référence du RAP seront précisées. </w:t>
      </w:r>
    </w:p>
    <w:p w:rsidR="007B0A2C" w:rsidRPr="007B0A2C" w:rsidRDefault="007B0A2C" w:rsidP="007B0A2C">
      <w:pPr>
        <w:autoSpaceDE w:val="0"/>
        <w:autoSpaceDN w:val="0"/>
        <w:adjustRightInd w:val="0"/>
        <w:spacing w:before="120" w:line="240" w:lineRule="auto"/>
        <w:ind w:left="709" w:hanging="142"/>
        <w:jc w:val="both"/>
        <w:rPr>
          <w:rFonts w:cs="Arial"/>
          <w:sz w:val="22"/>
        </w:rPr>
      </w:pPr>
      <w:r w:rsidRPr="007B0A2C">
        <w:rPr>
          <w:rFonts w:cs="Arial"/>
          <w:sz w:val="22"/>
        </w:rPr>
        <w:t>• Évaluations des activités de formation en centre : les compétences évaluées, les critères d’évaluation retenus et les indicateurs de réussite propres à la situation de formation seront précisés.</w:t>
      </w:r>
    </w:p>
    <w:p w:rsidR="007B0A2C" w:rsidRPr="007B0A2C" w:rsidRDefault="007B0A2C" w:rsidP="007B0A2C">
      <w:pPr>
        <w:autoSpaceDE w:val="0"/>
        <w:autoSpaceDN w:val="0"/>
        <w:adjustRightInd w:val="0"/>
        <w:spacing w:before="120" w:line="240" w:lineRule="auto"/>
        <w:ind w:left="709" w:hanging="142"/>
        <w:jc w:val="both"/>
        <w:rPr>
          <w:rFonts w:cs="Arial"/>
          <w:sz w:val="22"/>
        </w:rPr>
      </w:pPr>
      <w:r w:rsidRPr="007B0A2C">
        <w:rPr>
          <w:rFonts w:cs="Arial"/>
          <w:sz w:val="22"/>
        </w:rPr>
        <w:t xml:space="preserve">• Bilans entreprise comportant l’évaluation des compétences mobilisées lors des différents temps de formation en entreprise : les compétences et les critères d’évaluation présents dans ces bilans seront identifiés par le formateur à partir des fiches activités en entreprises complétées par les apprenants. Les niveaux de réussite relatifs à ces bilans sont ensuite complétés conjointement par le tuteur en entreprise et le professeur d’enseignement professionnel à l’occasion d’une visite en entreprise, en présence de l’apprenant. </w:t>
      </w:r>
    </w:p>
    <w:p w:rsidR="007B0A2C" w:rsidRPr="007B0A2C" w:rsidRDefault="007B0A2C" w:rsidP="007B0A2C">
      <w:pPr>
        <w:autoSpaceDE w:val="0"/>
        <w:autoSpaceDN w:val="0"/>
        <w:adjustRightInd w:val="0"/>
        <w:spacing w:before="120" w:line="240" w:lineRule="auto"/>
        <w:ind w:left="709" w:hanging="142"/>
        <w:jc w:val="both"/>
        <w:rPr>
          <w:rFonts w:cs="Arial"/>
          <w:sz w:val="22"/>
        </w:rPr>
      </w:pPr>
      <w:r w:rsidRPr="007B0A2C">
        <w:rPr>
          <w:rFonts w:cs="Arial"/>
          <w:sz w:val="22"/>
        </w:rPr>
        <w:t>• Tableau de bord des compétences de l’apprenant : il décrit graphiquement l’évolution du niveau de réussite sur chacun des indicateurs et le niveau d’acquisition de chacune des compétences</w:t>
      </w:r>
    </w:p>
    <w:p w:rsidR="007B0A2C" w:rsidRPr="007B0A2C" w:rsidRDefault="007B0A2C" w:rsidP="007B0A2C">
      <w:pPr>
        <w:spacing w:before="120" w:line="240" w:lineRule="auto"/>
        <w:ind w:left="709" w:hanging="142"/>
        <w:jc w:val="both"/>
        <w:rPr>
          <w:rFonts w:cs="Arial"/>
          <w:sz w:val="22"/>
        </w:rPr>
      </w:pPr>
      <w:r w:rsidRPr="007B0A2C">
        <w:rPr>
          <w:rFonts w:cs="Arial"/>
          <w:sz w:val="22"/>
        </w:rPr>
        <w:t xml:space="preserve">• Bilans intermédiaires de compétences formalisés : ils permettent de faire une photographie à un instant donné, du niveau d’acquisition des compétences, </w:t>
      </w:r>
      <w:r w:rsidR="008E56A8">
        <w:rPr>
          <w:rFonts w:cs="Arial"/>
          <w:sz w:val="22"/>
        </w:rPr>
        <w:t xml:space="preserve">au moins </w:t>
      </w:r>
      <w:r w:rsidRPr="007B0A2C">
        <w:rPr>
          <w:rFonts w:cs="Arial"/>
          <w:sz w:val="22"/>
        </w:rPr>
        <w:t xml:space="preserve">deux fois par an. </w:t>
      </w:r>
    </w:p>
    <w:p w:rsidR="007B0A2C" w:rsidRPr="007B0A2C" w:rsidRDefault="007B0A2C" w:rsidP="007B0A2C">
      <w:pPr>
        <w:spacing w:before="120" w:line="240" w:lineRule="auto"/>
        <w:jc w:val="both"/>
        <w:rPr>
          <w:rFonts w:cs="Arial"/>
          <w:sz w:val="22"/>
        </w:rPr>
      </w:pPr>
      <w:r w:rsidRPr="007B0A2C">
        <w:rPr>
          <w:rFonts w:cs="Arial"/>
          <w:sz w:val="22"/>
        </w:rPr>
        <w:t xml:space="preserve">Le livret assure donc le suivi de l’acquisition des compétences mobilisées en centre comme en entreprise, lors des PFMP notamment. Concernant les compétences abordées en entreprise, leur prise en compte est formalisée par un </w:t>
      </w:r>
      <w:r w:rsidRPr="007B0A2C">
        <w:rPr>
          <w:rFonts w:cs="Arial"/>
          <w:b/>
          <w:sz w:val="22"/>
        </w:rPr>
        <w:t xml:space="preserve">bilan entreprise </w:t>
      </w:r>
      <w:r w:rsidRPr="007B0A2C">
        <w:rPr>
          <w:rFonts w:cs="Arial"/>
          <w:sz w:val="22"/>
        </w:rPr>
        <w:t xml:space="preserve">établi à l’issue de chaque période. </w:t>
      </w:r>
    </w:p>
    <w:p w:rsidR="007B0A2C" w:rsidRPr="007B0A2C" w:rsidRDefault="007B0A2C" w:rsidP="007B0A2C">
      <w:pPr>
        <w:spacing w:before="120" w:line="240" w:lineRule="auto"/>
        <w:jc w:val="both"/>
        <w:rPr>
          <w:rFonts w:cs="Arial"/>
          <w:sz w:val="22"/>
        </w:rPr>
      </w:pPr>
    </w:p>
    <w:p w:rsidR="007B0A2C" w:rsidRPr="007B0A2C" w:rsidRDefault="007B0A2C" w:rsidP="007B0A2C">
      <w:pPr>
        <w:spacing w:before="120" w:line="240" w:lineRule="auto"/>
        <w:jc w:val="both"/>
        <w:rPr>
          <w:rFonts w:cs="Arial"/>
          <w:sz w:val="22"/>
        </w:rPr>
      </w:pPr>
      <w:r w:rsidRPr="007B0A2C">
        <w:rPr>
          <w:rFonts w:cs="Arial"/>
          <w:sz w:val="22"/>
        </w:rPr>
        <w:t>Le schéma ci-dessous illustre comment est construit ce bilan et comment il alimente le livret.</w:t>
      </w:r>
    </w:p>
    <w:p w:rsidR="007B0A2C" w:rsidRPr="007B0A2C" w:rsidRDefault="007B0A2C" w:rsidP="007B0A2C">
      <w:pPr>
        <w:spacing w:before="120" w:line="240" w:lineRule="auto"/>
        <w:jc w:val="both"/>
        <w:rPr>
          <w:rFonts w:cs="Arial"/>
          <w:sz w:val="22"/>
        </w:rPr>
      </w:pPr>
      <w:r w:rsidRPr="007B0A2C">
        <w:rPr>
          <w:noProof/>
          <w:sz w:val="22"/>
          <w:lang w:eastAsia="fr-FR"/>
        </w:rPr>
        <w:drawing>
          <wp:anchor distT="0" distB="0" distL="114300" distR="114300" simplePos="0" relativeHeight="251659264" behindDoc="1" locked="0" layoutInCell="1" allowOverlap="1" wp14:anchorId="4E6520DB" wp14:editId="18AA440F">
            <wp:simplePos x="0" y="0"/>
            <wp:positionH relativeFrom="column">
              <wp:posOffset>157480</wp:posOffset>
            </wp:positionH>
            <wp:positionV relativeFrom="paragraph">
              <wp:posOffset>55880</wp:posOffset>
            </wp:positionV>
            <wp:extent cx="5720080" cy="3219450"/>
            <wp:effectExtent l="19050" t="19050" r="13970" b="190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extLst>
                        <a:ext uri="{28A0092B-C50C-407E-A947-70E740481C1C}">
                          <a14:useLocalDpi xmlns:a14="http://schemas.microsoft.com/office/drawing/2010/main" val="0"/>
                        </a:ext>
                      </a:extLst>
                    </a:blip>
                    <a:srcRect l="20999" t="19997" r="7904" b="8841"/>
                    <a:stretch>
                      <a:fillRect/>
                    </a:stretch>
                  </pic:blipFill>
                  <pic:spPr bwMode="auto">
                    <a:xfrm>
                      <a:off x="0" y="0"/>
                      <a:ext cx="5720080" cy="3219450"/>
                    </a:xfrm>
                    <a:prstGeom prst="rect">
                      <a:avLst/>
                    </a:prstGeom>
                    <a:noFill/>
                    <a:ln w="190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7B0A2C" w:rsidRPr="007B0A2C" w:rsidRDefault="007B0A2C" w:rsidP="007B0A2C">
      <w:pPr>
        <w:spacing w:before="120" w:line="240" w:lineRule="auto"/>
        <w:jc w:val="both"/>
        <w:rPr>
          <w:rFonts w:cs="Arial"/>
          <w:sz w:val="22"/>
        </w:rPr>
      </w:pPr>
    </w:p>
    <w:p w:rsidR="002A1628" w:rsidRPr="007B0A2C" w:rsidRDefault="007B0A2C" w:rsidP="007B0A2C">
      <w:pPr>
        <w:spacing w:before="120" w:line="240" w:lineRule="auto"/>
        <w:jc w:val="both"/>
        <w:rPr>
          <w:color w:val="FF0000"/>
          <w:sz w:val="22"/>
        </w:rPr>
      </w:pP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p>
    <w:sectPr w:rsidR="002A1628" w:rsidRPr="007B0A2C" w:rsidSect="0015517A">
      <w:headerReference w:type="default" r:id="rId10"/>
      <w:pgSz w:w="11906" w:h="16838" w:code="9"/>
      <w:pgMar w:top="851" w:right="851" w:bottom="851"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54C" w:rsidRDefault="002E654C" w:rsidP="0015517A">
      <w:pPr>
        <w:spacing w:line="240" w:lineRule="auto"/>
      </w:pPr>
      <w:r>
        <w:separator/>
      </w:r>
    </w:p>
  </w:endnote>
  <w:endnote w:type="continuationSeparator" w:id="0">
    <w:p w:rsidR="002E654C" w:rsidRDefault="002E654C" w:rsidP="00155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54C" w:rsidRDefault="002E654C" w:rsidP="0015517A">
      <w:pPr>
        <w:spacing w:line="240" w:lineRule="auto"/>
      </w:pPr>
      <w:r>
        <w:separator/>
      </w:r>
    </w:p>
  </w:footnote>
  <w:footnote w:type="continuationSeparator" w:id="0">
    <w:p w:rsidR="002E654C" w:rsidRDefault="002E654C" w:rsidP="001551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D06" w:rsidRDefault="003942F9" w:rsidP="008B5D06">
    <w:pPr>
      <w:pStyle w:val="En-tte"/>
      <w:tabs>
        <w:tab w:val="left" w:pos="708"/>
      </w:tabs>
      <w:ind w:left="1134" w:right="1132"/>
      <w:jc w:val="center"/>
      <w:rPr>
        <w:rFonts w:cs="Arial"/>
        <w:b/>
        <w:bCs/>
        <w:color w:val="000000"/>
        <w:kern w:val="24"/>
        <w:sz w:val="22"/>
      </w:rPr>
    </w:pPr>
    <w:r w:rsidRPr="003942F9">
      <w:rPr>
        <w:rFonts w:ascii="Arial Narrow" w:hAnsi="Arial Narrow" w:cs="Arial"/>
        <w:b/>
        <w:bCs/>
        <w:noProof/>
        <w:color w:val="000000"/>
        <w:kern w:val="24"/>
        <w:sz w:val="24"/>
        <w:szCs w:val="24"/>
        <w:lang w:eastAsia="fr-FR"/>
      </w:rPr>
      <w:drawing>
        <wp:anchor distT="0" distB="0" distL="114300" distR="114300" simplePos="0" relativeHeight="251658240" behindDoc="0" locked="0" layoutInCell="1" allowOverlap="1" wp14:anchorId="1D7C7D96" wp14:editId="4BEA9B3D">
          <wp:simplePos x="0" y="0"/>
          <wp:positionH relativeFrom="column">
            <wp:posOffset>5918200</wp:posOffset>
          </wp:positionH>
          <wp:positionV relativeFrom="paragraph">
            <wp:posOffset>-113665</wp:posOffset>
          </wp:positionV>
          <wp:extent cx="775970" cy="808990"/>
          <wp:effectExtent l="0" t="0" r="5080" b="0"/>
          <wp:wrapNone/>
          <wp:docPr id="2" name="Image 40"/>
          <wp:cNvGraphicFramePr/>
          <a:graphic xmlns:a="http://schemas.openxmlformats.org/drawingml/2006/main">
            <a:graphicData uri="http://schemas.openxmlformats.org/drawingml/2006/picture">
              <pic:pic xmlns:pic="http://schemas.openxmlformats.org/drawingml/2006/picture">
                <pic:nvPicPr>
                  <pic:cNvPr id="41" name="Image 40"/>
                  <pic:cNvPicPr/>
                </pic:nvPicPr>
                <pic:blipFill rotWithShape="1">
                  <a:blip r:embed="rId1" cstate="print">
                    <a:extLst>
                      <a:ext uri="{28A0092B-C50C-407E-A947-70E740481C1C}">
                        <a14:useLocalDpi xmlns:a14="http://schemas.microsoft.com/office/drawing/2010/main" val="0"/>
                      </a:ext>
                    </a:extLst>
                  </a:blip>
                  <a:srcRect l="23205" t="17863" r="16022" b="15292"/>
                  <a:stretch/>
                </pic:blipFill>
                <pic:spPr bwMode="auto">
                  <a:xfrm>
                    <a:off x="0" y="0"/>
                    <a:ext cx="775970" cy="80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D06">
      <w:rPr>
        <w:noProof/>
        <w:lang w:eastAsia="fr-FR"/>
      </w:rPr>
      <w:drawing>
        <wp:anchor distT="0" distB="0" distL="114300" distR="114300" simplePos="0" relativeHeight="251657216" behindDoc="0" locked="0" layoutInCell="1" allowOverlap="1" wp14:anchorId="02525266" wp14:editId="2B2FC15D">
          <wp:simplePos x="0" y="0"/>
          <wp:positionH relativeFrom="column">
            <wp:posOffset>-150495</wp:posOffset>
          </wp:positionH>
          <wp:positionV relativeFrom="paragraph">
            <wp:posOffset>-62230</wp:posOffset>
          </wp:positionV>
          <wp:extent cx="665480" cy="762000"/>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480" cy="762000"/>
                  </a:xfrm>
                  <a:prstGeom prst="rect">
                    <a:avLst/>
                  </a:prstGeom>
                  <a:noFill/>
                </pic:spPr>
              </pic:pic>
            </a:graphicData>
          </a:graphic>
          <wp14:sizeRelH relativeFrom="margin">
            <wp14:pctWidth>0</wp14:pctWidth>
          </wp14:sizeRelH>
          <wp14:sizeRelV relativeFrom="margin">
            <wp14:pctHeight>0</wp14:pctHeight>
          </wp14:sizeRelV>
        </wp:anchor>
      </w:drawing>
    </w:r>
    <w:r w:rsidR="008B5D06">
      <w:rPr>
        <w:rFonts w:ascii="Arial Narrow" w:hAnsi="Arial Narrow" w:cs="Arial"/>
        <w:b/>
        <w:bCs/>
        <w:color w:val="000000"/>
        <w:sz w:val="28"/>
        <w:szCs w:val="24"/>
        <w:u w:val="single"/>
      </w:rPr>
      <w:t>BAC PRO métiers de l’électricité et de ses environnements connectés</w:t>
    </w:r>
  </w:p>
  <w:p w:rsidR="008B5D06" w:rsidRDefault="008B5D06" w:rsidP="008B5D06">
    <w:pPr>
      <w:pStyle w:val="En-tte"/>
      <w:tabs>
        <w:tab w:val="left" w:pos="708"/>
      </w:tabs>
      <w:ind w:left="1134" w:right="1132"/>
      <w:jc w:val="center"/>
      <w:rPr>
        <w:rFonts w:ascii="Arial Narrow" w:hAnsi="Arial Narrow" w:cs="Arial"/>
        <w:b/>
        <w:bCs/>
        <w:color w:val="000000"/>
        <w:kern w:val="24"/>
        <w:sz w:val="10"/>
        <w:szCs w:val="24"/>
      </w:rPr>
    </w:pPr>
  </w:p>
  <w:p w:rsidR="008B5D06" w:rsidRDefault="008B5D06" w:rsidP="008B5D06">
    <w:pPr>
      <w:pStyle w:val="En-tte"/>
      <w:tabs>
        <w:tab w:val="left" w:pos="708"/>
      </w:tabs>
      <w:ind w:left="1134" w:right="1132"/>
      <w:jc w:val="center"/>
      <w:rPr>
        <w:rFonts w:ascii="Arial Narrow" w:hAnsi="Arial Narrow" w:cs="Arial"/>
        <w:b/>
        <w:bCs/>
        <w:color w:val="000000"/>
        <w:kern w:val="24"/>
        <w:sz w:val="28"/>
        <w:szCs w:val="24"/>
      </w:rPr>
    </w:pPr>
    <w:r>
      <w:rPr>
        <w:rFonts w:ascii="Arial Narrow" w:hAnsi="Arial Narrow" w:cs="Arial"/>
        <w:b/>
        <w:bCs/>
        <w:color w:val="000000"/>
        <w:kern w:val="24"/>
        <w:sz w:val="24"/>
        <w:szCs w:val="24"/>
      </w:rPr>
      <w:t>Repère pour la formation</w:t>
    </w:r>
  </w:p>
  <w:p w:rsidR="008B5D06" w:rsidRDefault="008B5D06" w:rsidP="008B5D06">
    <w:pPr>
      <w:pStyle w:val="En-tte"/>
      <w:tabs>
        <w:tab w:val="left" w:pos="708"/>
      </w:tabs>
      <w:ind w:left="1134" w:right="1132"/>
      <w:jc w:val="center"/>
      <w:rPr>
        <w:rFonts w:ascii="Arial Narrow" w:hAnsi="Arial Narrow"/>
        <w:sz w:val="10"/>
        <w:szCs w:val="24"/>
      </w:rPr>
    </w:pPr>
  </w:p>
  <w:p w:rsidR="008B5D06" w:rsidRDefault="008B5D06" w:rsidP="008B5D06">
    <w:pPr>
      <w:pStyle w:val="En-tte"/>
      <w:tabs>
        <w:tab w:val="clear" w:pos="4536"/>
        <w:tab w:val="clear" w:pos="9072"/>
        <w:tab w:val="left" w:pos="708"/>
        <w:tab w:val="right" w:pos="8789"/>
      </w:tabs>
      <w:ind w:left="1134" w:right="1132"/>
      <w:rPr>
        <w:rFonts w:ascii="Arial Narrow" w:hAnsi="Arial Narrow"/>
        <w:b/>
        <w:i/>
        <w:sz w:val="16"/>
      </w:rPr>
    </w:pPr>
    <w:r>
      <w:rPr>
        <w:rFonts w:ascii="Arial Narrow" w:hAnsi="Arial Narrow"/>
        <w:i/>
        <w:sz w:val="16"/>
      </w:rPr>
      <w:t xml:space="preserve">       Version du </w:t>
    </w:r>
    <w:r w:rsidR="00F10366">
      <w:rPr>
        <w:rFonts w:ascii="Arial Narrow" w:hAnsi="Arial Narrow"/>
        <w:i/>
        <w:sz w:val="16"/>
      </w:rPr>
      <w:t>2</w:t>
    </w:r>
    <w:r w:rsidR="0090775B">
      <w:rPr>
        <w:rFonts w:ascii="Arial Narrow" w:hAnsi="Arial Narrow"/>
        <w:i/>
        <w:sz w:val="16"/>
      </w:rPr>
      <w:t>8</w:t>
    </w:r>
    <w:r>
      <w:rPr>
        <w:rFonts w:ascii="Arial Narrow" w:hAnsi="Arial Narrow"/>
        <w:i/>
        <w:sz w:val="16"/>
      </w:rPr>
      <w:t xml:space="preserve"> avril 2016 </w:t>
    </w:r>
    <w:r>
      <w:rPr>
        <w:rFonts w:ascii="Arial Narrow" w:hAnsi="Arial Narrow"/>
        <w:i/>
        <w:sz w:val="16"/>
      </w:rPr>
      <w:tab/>
      <w:t xml:space="preserve">Page </w:t>
    </w:r>
    <w:r>
      <w:rPr>
        <w:rFonts w:ascii="Arial Narrow" w:hAnsi="Arial Narrow"/>
        <w:b/>
        <w:i/>
        <w:sz w:val="16"/>
      </w:rPr>
      <w:fldChar w:fldCharType="begin"/>
    </w:r>
    <w:r>
      <w:rPr>
        <w:rFonts w:ascii="Arial Narrow" w:hAnsi="Arial Narrow"/>
        <w:b/>
        <w:i/>
        <w:sz w:val="16"/>
      </w:rPr>
      <w:instrText>PAGE  \* Arabic  \* MERGEFORMAT</w:instrText>
    </w:r>
    <w:r>
      <w:rPr>
        <w:rFonts w:ascii="Arial Narrow" w:hAnsi="Arial Narrow"/>
        <w:b/>
        <w:i/>
        <w:sz w:val="16"/>
      </w:rPr>
      <w:fldChar w:fldCharType="separate"/>
    </w:r>
    <w:r w:rsidR="0090775B">
      <w:rPr>
        <w:rFonts w:ascii="Arial Narrow" w:hAnsi="Arial Narrow"/>
        <w:b/>
        <w:i/>
        <w:noProof/>
        <w:sz w:val="16"/>
      </w:rPr>
      <w:t>1</w:t>
    </w:r>
    <w:r>
      <w:rPr>
        <w:rFonts w:ascii="Arial Narrow" w:hAnsi="Arial Narrow"/>
        <w:b/>
        <w:i/>
        <w:sz w:val="16"/>
      </w:rPr>
      <w:fldChar w:fldCharType="end"/>
    </w:r>
    <w:r>
      <w:rPr>
        <w:rFonts w:ascii="Arial Narrow" w:hAnsi="Arial Narrow"/>
        <w:i/>
        <w:sz w:val="16"/>
      </w:rPr>
      <w:t>/</w:t>
    </w:r>
    <w:r>
      <w:rPr>
        <w:rFonts w:ascii="Arial Narrow" w:hAnsi="Arial Narrow"/>
        <w:b/>
        <w:i/>
        <w:sz w:val="16"/>
      </w:rPr>
      <w:fldChar w:fldCharType="begin"/>
    </w:r>
    <w:r>
      <w:rPr>
        <w:rFonts w:ascii="Arial Narrow" w:hAnsi="Arial Narrow"/>
        <w:b/>
        <w:i/>
        <w:sz w:val="16"/>
      </w:rPr>
      <w:instrText>NUMPAGES  \* Arabic  \* MERGEFORMAT</w:instrText>
    </w:r>
    <w:r>
      <w:rPr>
        <w:rFonts w:ascii="Arial Narrow" w:hAnsi="Arial Narrow"/>
        <w:b/>
        <w:i/>
        <w:sz w:val="16"/>
      </w:rPr>
      <w:fldChar w:fldCharType="separate"/>
    </w:r>
    <w:r w:rsidR="0090775B">
      <w:rPr>
        <w:rFonts w:ascii="Arial Narrow" w:hAnsi="Arial Narrow"/>
        <w:b/>
        <w:i/>
        <w:noProof/>
        <w:sz w:val="16"/>
      </w:rPr>
      <w:t>1</w:t>
    </w:r>
    <w:r>
      <w:rPr>
        <w:rFonts w:ascii="Arial Narrow" w:hAnsi="Arial Narrow"/>
        <w:b/>
        <w:i/>
        <w:sz w:val="16"/>
      </w:rPr>
      <w:fldChar w:fldCharType="end"/>
    </w:r>
  </w:p>
  <w:p w:rsidR="008B5D06" w:rsidRDefault="008B5D06" w:rsidP="008B5D06">
    <w:pPr>
      <w:pStyle w:val="En-tte"/>
      <w:pBdr>
        <w:bottom w:val="single" w:sz="18" w:space="1" w:color="33CC33"/>
      </w:pBdr>
      <w:tabs>
        <w:tab w:val="left" w:pos="708"/>
      </w:tabs>
      <w:ind w:left="-567" w:right="-569"/>
      <w:jc w:val="center"/>
      <w:rPr>
        <w:rFonts w:ascii="Arial Narrow" w:hAnsi="Arial Narrow"/>
        <w:i/>
        <w:sz w:val="8"/>
        <w:u w:val="single" w:color="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1411"/>
    <w:multiLevelType w:val="hybridMultilevel"/>
    <w:tmpl w:val="5E8C8E9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163E75CD"/>
    <w:multiLevelType w:val="hybridMultilevel"/>
    <w:tmpl w:val="6D5602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22794036"/>
    <w:multiLevelType w:val="hybridMultilevel"/>
    <w:tmpl w:val="15FA8528"/>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nsid w:val="2957166F"/>
    <w:multiLevelType w:val="hybridMultilevel"/>
    <w:tmpl w:val="ADF643E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37016CCA"/>
    <w:multiLevelType w:val="hybridMultilevel"/>
    <w:tmpl w:val="851AB0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FDE7A90"/>
    <w:multiLevelType w:val="hybridMultilevel"/>
    <w:tmpl w:val="5524AFF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6">
    <w:nsid w:val="436C4073"/>
    <w:multiLevelType w:val="hybridMultilevel"/>
    <w:tmpl w:val="E57A2674"/>
    <w:lvl w:ilvl="0" w:tplc="E5F6CE04">
      <w:numFmt w:val="bullet"/>
      <w:lvlText w:val="-"/>
      <w:lvlJc w:val="left"/>
      <w:pPr>
        <w:ind w:left="420" w:hanging="360"/>
      </w:pPr>
      <w:rPr>
        <w:rFonts w:ascii="Arial" w:eastAsiaTheme="minorHAnsi" w:hAnsi="Arial" w:cs="Arial" w:hint="default"/>
      </w:rPr>
    </w:lvl>
    <w:lvl w:ilvl="1" w:tplc="040C0003">
      <w:start w:val="1"/>
      <w:numFmt w:val="bullet"/>
      <w:lvlText w:val="o"/>
      <w:lvlJc w:val="left"/>
      <w:pPr>
        <w:ind w:left="1140" w:hanging="360"/>
      </w:pPr>
      <w:rPr>
        <w:rFonts w:ascii="Courier New" w:hAnsi="Courier New" w:cs="Courier New" w:hint="default"/>
      </w:rPr>
    </w:lvl>
    <w:lvl w:ilvl="2" w:tplc="040C0005">
      <w:start w:val="1"/>
      <w:numFmt w:val="bullet"/>
      <w:lvlText w:val=""/>
      <w:lvlJc w:val="left"/>
      <w:pPr>
        <w:ind w:left="1860" w:hanging="360"/>
      </w:pPr>
      <w:rPr>
        <w:rFonts w:ascii="Wingdings" w:hAnsi="Wingdings" w:hint="default"/>
      </w:rPr>
    </w:lvl>
    <w:lvl w:ilvl="3" w:tplc="040C0001">
      <w:start w:val="1"/>
      <w:numFmt w:val="bullet"/>
      <w:lvlText w:val=""/>
      <w:lvlJc w:val="left"/>
      <w:pPr>
        <w:ind w:left="2580" w:hanging="360"/>
      </w:pPr>
      <w:rPr>
        <w:rFonts w:ascii="Symbol" w:hAnsi="Symbol" w:hint="default"/>
      </w:rPr>
    </w:lvl>
    <w:lvl w:ilvl="4" w:tplc="040C0003">
      <w:start w:val="1"/>
      <w:numFmt w:val="bullet"/>
      <w:lvlText w:val="o"/>
      <w:lvlJc w:val="left"/>
      <w:pPr>
        <w:ind w:left="3300" w:hanging="360"/>
      </w:pPr>
      <w:rPr>
        <w:rFonts w:ascii="Courier New" w:hAnsi="Courier New" w:cs="Courier New" w:hint="default"/>
      </w:rPr>
    </w:lvl>
    <w:lvl w:ilvl="5" w:tplc="040C0005">
      <w:start w:val="1"/>
      <w:numFmt w:val="bullet"/>
      <w:lvlText w:val=""/>
      <w:lvlJc w:val="left"/>
      <w:pPr>
        <w:ind w:left="4020" w:hanging="360"/>
      </w:pPr>
      <w:rPr>
        <w:rFonts w:ascii="Wingdings" w:hAnsi="Wingdings" w:hint="default"/>
      </w:rPr>
    </w:lvl>
    <w:lvl w:ilvl="6" w:tplc="040C0001">
      <w:start w:val="1"/>
      <w:numFmt w:val="bullet"/>
      <w:lvlText w:val=""/>
      <w:lvlJc w:val="left"/>
      <w:pPr>
        <w:ind w:left="4740" w:hanging="360"/>
      </w:pPr>
      <w:rPr>
        <w:rFonts w:ascii="Symbol" w:hAnsi="Symbol" w:hint="default"/>
      </w:rPr>
    </w:lvl>
    <w:lvl w:ilvl="7" w:tplc="040C0003">
      <w:start w:val="1"/>
      <w:numFmt w:val="bullet"/>
      <w:lvlText w:val="o"/>
      <w:lvlJc w:val="left"/>
      <w:pPr>
        <w:ind w:left="5460" w:hanging="360"/>
      </w:pPr>
      <w:rPr>
        <w:rFonts w:ascii="Courier New" w:hAnsi="Courier New" w:cs="Courier New" w:hint="default"/>
      </w:rPr>
    </w:lvl>
    <w:lvl w:ilvl="8" w:tplc="040C0005">
      <w:start w:val="1"/>
      <w:numFmt w:val="bullet"/>
      <w:lvlText w:val=""/>
      <w:lvlJc w:val="left"/>
      <w:pPr>
        <w:ind w:left="6180" w:hanging="360"/>
      </w:pPr>
      <w:rPr>
        <w:rFonts w:ascii="Wingdings" w:hAnsi="Wingdings" w:hint="default"/>
      </w:rPr>
    </w:lvl>
  </w:abstractNum>
  <w:abstractNum w:abstractNumId="7">
    <w:nsid w:val="45284376"/>
    <w:multiLevelType w:val="hybridMultilevel"/>
    <w:tmpl w:val="CFE415FA"/>
    <w:lvl w:ilvl="0" w:tplc="B3987772">
      <w:numFmt w:val="bullet"/>
      <w:lvlText w:val="-"/>
      <w:lvlJc w:val="left"/>
      <w:pPr>
        <w:ind w:left="480" w:hanging="360"/>
      </w:pPr>
      <w:rPr>
        <w:rFonts w:ascii="Arial" w:eastAsiaTheme="minorHAnsi" w:hAnsi="Arial" w:cs="Arial" w:hint="default"/>
      </w:rPr>
    </w:lvl>
    <w:lvl w:ilvl="1" w:tplc="040C0003">
      <w:start w:val="1"/>
      <w:numFmt w:val="bullet"/>
      <w:lvlText w:val="o"/>
      <w:lvlJc w:val="left"/>
      <w:pPr>
        <w:ind w:left="1200" w:hanging="360"/>
      </w:pPr>
      <w:rPr>
        <w:rFonts w:ascii="Courier New" w:hAnsi="Courier New" w:cs="Courier New" w:hint="default"/>
      </w:rPr>
    </w:lvl>
    <w:lvl w:ilvl="2" w:tplc="040C0005">
      <w:start w:val="1"/>
      <w:numFmt w:val="bullet"/>
      <w:lvlText w:val=""/>
      <w:lvlJc w:val="left"/>
      <w:pPr>
        <w:ind w:left="1920" w:hanging="360"/>
      </w:pPr>
      <w:rPr>
        <w:rFonts w:ascii="Wingdings" w:hAnsi="Wingdings" w:hint="default"/>
      </w:rPr>
    </w:lvl>
    <w:lvl w:ilvl="3" w:tplc="040C0001">
      <w:start w:val="1"/>
      <w:numFmt w:val="bullet"/>
      <w:lvlText w:val=""/>
      <w:lvlJc w:val="left"/>
      <w:pPr>
        <w:ind w:left="2640" w:hanging="360"/>
      </w:pPr>
      <w:rPr>
        <w:rFonts w:ascii="Symbol" w:hAnsi="Symbol" w:hint="default"/>
      </w:rPr>
    </w:lvl>
    <w:lvl w:ilvl="4" w:tplc="040C0003">
      <w:start w:val="1"/>
      <w:numFmt w:val="bullet"/>
      <w:lvlText w:val="o"/>
      <w:lvlJc w:val="left"/>
      <w:pPr>
        <w:ind w:left="3360" w:hanging="360"/>
      </w:pPr>
      <w:rPr>
        <w:rFonts w:ascii="Courier New" w:hAnsi="Courier New" w:cs="Courier New" w:hint="default"/>
      </w:rPr>
    </w:lvl>
    <w:lvl w:ilvl="5" w:tplc="040C0005">
      <w:start w:val="1"/>
      <w:numFmt w:val="bullet"/>
      <w:lvlText w:val=""/>
      <w:lvlJc w:val="left"/>
      <w:pPr>
        <w:ind w:left="4080" w:hanging="360"/>
      </w:pPr>
      <w:rPr>
        <w:rFonts w:ascii="Wingdings" w:hAnsi="Wingdings" w:hint="default"/>
      </w:rPr>
    </w:lvl>
    <w:lvl w:ilvl="6" w:tplc="040C0001">
      <w:start w:val="1"/>
      <w:numFmt w:val="bullet"/>
      <w:lvlText w:val=""/>
      <w:lvlJc w:val="left"/>
      <w:pPr>
        <w:ind w:left="4800" w:hanging="360"/>
      </w:pPr>
      <w:rPr>
        <w:rFonts w:ascii="Symbol" w:hAnsi="Symbol" w:hint="default"/>
      </w:rPr>
    </w:lvl>
    <w:lvl w:ilvl="7" w:tplc="040C0003">
      <w:start w:val="1"/>
      <w:numFmt w:val="bullet"/>
      <w:lvlText w:val="o"/>
      <w:lvlJc w:val="left"/>
      <w:pPr>
        <w:ind w:left="5520" w:hanging="360"/>
      </w:pPr>
      <w:rPr>
        <w:rFonts w:ascii="Courier New" w:hAnsi="Courier New" w:cs="Courier New" w:hint="default"/>
      </w:rPr>
    </w:lvl>
    <w:lvl w:ilvl="8" w:tplc="040C0005">
      <w:start w:val="1"/>
      <w:numFmt w:val="bullet"/>
      <w:lvlText w:val=""/>
      <w:lvlJc w:val="left"/>
      <w:pPr>
        <w:ind w:left="6240" w:hanging="360"/>
      </w:pPr>
      <w:rPr>
        <w:rFonts w:ascii="Wingdings" w:hAnsi="Wingdings" w:hint="default"/>
      </w:rPr>
    </w:lvl>
  </w:abstractNum>
  <w:abstractNum w:abstractNumId="8">
    <w:nsid w:val="49A32900"/>
    <w:multiLevelType w:val="hybridMultilevel"/>
    <w:tmpl w:val="59AEE3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4CD9624A"/>
    <w:multiLevelType w:val="hybridMultilevel"/>
    <w:tmpl w:val="CAACB37C"/>
    <w:lvl w:ilvl="0" w:tplc="D1623926">
      <w:start w:val="1"/>
      <w:numFmt w:val="upperRoman"/>
      <w:lvlText w:val="%1."/>
      <w:lvlJc w:val="right"/>
      <w:pPr>
        <w:ind w:left="720" w:hanging="360"/>
      </w:pPr>
      <w:rPr>
        <w:rFonts w:hint="default"/>
        <w:b/>
        <w:i w:val="0"/>
        <w:sz w:val="22"/>
      </w:rPr>
    </w:lvl>
    <w:lvl w:ilvl="1" w:tplc="66E6F586">
      <w:start w:val="1"/>
      <w:numFmt w:val="upperRoman"/>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0CE32D2"/>
    <w:multiLevelType w:val="hybridMultilevel"/>
    <w:tmpl w:val="DD6E42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63644F62"/>
    <w:multiLevelType w:val="hybridMultilevel"/>
    <w:tmpl w:val="31FE2438"/>
    <w:lvl w:ilvl="0" w:tplc="587C2512">
      <w:numFmt w:val="bullet"/>
      <w:lvlText w:val="-"/>
      <w:lvlJc w:val="left"/>
      <w:pPr>
        <w:ind w:left="1354" w:hanging="360"/>
      </w:pPr>
      <w:rPr>
        <w:rFonts w:ascii="Arial" w:eastAsia="Arial" w:hAnsi="Arial" w:cs="Arial" w:hint="default"/>
      </w:rPr>
    </w:lvl>
    <w:lvl w:ilvl="1" w:tplc="040C0003" w:tentative="1">
      <w:start w:val="1"/>
      <w:numFmt w:val="bullet"/>
      <w:lvlText w:val="o"/>
      <w:lvlJc w:val="left"/>
      <w:pPr>
        <w:ind w:left="2074" w:hanging="360"/>
      </w:pPr>
      <w:rPr>
        <w:rFonts w:ascii="Courier New" w:hAnsi="Courier New" w:cs="Courier New" w:hint="default"/>
      </w:rPr>
    </w:lvl>
    <w:lvl w:ilvl="2" w:tplc="040C0005" w:tentative="1">
      <w:start w:val="1"/>
      <w:numFmt w:val="bullet"/>
      <w:lvlText w:val=""/>
      <w:lvlJc w:val="left"/>
      <w:pPr>
        <w:ind w:left="2794" w:hanging="360"/>
      </w:pPr>
      <w:rPr>
        <w:rFonts w:ascii="Wingdings" w:hAnsi="Wingdings" w:hint="default"/>
      </w:rPr>
    </w:lvl>
    <w:lvl w:ilvl="3" w:tplc="040C0001" w:tentative="1">
      <w:start w:val="1"/>
      <w:numFmt w:val="bullet"/>
      <w:lvlText w:val=""/>
      <w:lvlJc w:val="left"/>
      <w:pPr>
        <w:ind w:left="3514" w:hanging="360"/>
      </w:pPr>
      <w:rPr>
        <w:rFonts w:ascii="Symbol" w:hAnsi="Symbol" w:hint="default"/>
      </w:rPr>
    </w:lvl>
    <w:lvl w:ilvl="4" w:tplc="040C0003" w:tentative="1">
      <w:start w:val="1"/>
      <w:numFmt w:val="bullet"/>
      <w:lvlText w:val="o"/>
      <w:lvlJc w:val="left"/>
      <w:pPr>
        <w:ind w:left="4234" w:hanging="360"/>
      </w:pPr>
      <w:rPr>
        <w:rFonts w:ascii="Courier New" w:hAnsi="Courier New" w:cs="Courier New" w:hint="default"/>
      </w:rPr>
    </w:lvl>
    <w:lvl w:ilvl="5" w:tplc="040C0005" w:tentative="1">
      <w:start w:val="1"/>
      <w:numFmt w:val="bullet"/>
      <w:lvlText w:val=""/>
      <w:lvlJc w:val="left"/>
      <w:pPr>
        <w:ind w:left="4954" w:hanging="360"/>
      </w:pPr>
      <w:rPr>
        <w:rFonts w:ascii="Wingdings" w:hAnsi="Wingdings" w:hint="default"/>
      </w:rPr>
    </w:lvl>
    <w:lvl w:ilvl="6" w:tplc="040C0001" w:tentative="1">
      <w:start w:val="1"/>
      <w:numFmt w:val="bullet"/>
      <w:lvlText w:val=""/>
      <w:lvlJc w:val="left"/>
      <w:pPr>
        <w:ind w:left="5674" w:hanging="360"/>
      </w:pPr>
      <w:rPr>
        <w:rFonts w:ascii="Symbol" w:hAnsi="Symbol" w:hint="default"/>
      </w:rPr>
    </w:lvl>
    <w:lvl w:ilvl="7" w:tplc="040C0003" w:tentative="1">
      <w:start w:val="1"/>
      <w:numFmt w:val="bullet"/>
      <w:lvlText w:val="o"/>
      <w:lvlJc w:val="left"/>
      <w:pPr>
        <w:ind w:left="6394" w:hanging="360"/>
      </w:pPr>
      <w:rPr>
        <w:rFonts w:ascii="Courier New" w:hAnsi="Courier New" w:cs="Courier New" w:hint="default"/>
      </w:rPr>
    </w:lvl>
    <w:lvl w:ilvl="8" w:tplc="040C0005" w:tentative="1">
      <w:start w:val="1"/>
      <w:numFmt w:val="bullet"/>
      <w:lvlText w:val=""/>
      <w:lvlJc w:val="left"/>
      <w:pPr>
        <w:ind w:left="7114" w:hanging="360"/>
      </w:pPr>
      <w:rPr>
        <w:rFonts w:ascii="Wingdings" w:hAnsi="Wingdings" w:hint="default"/>
      </w:rPr>
    </w:lvl>
  </w:abstractNum>
  <w:abstractNum w:abstractNumId="12">
    <w:nsid w:val="744D789B"/>
    <w:multiLevelType w:val="hybridMultilevel"/>
    <w:tmpl w:val="CFDEF88C"/>
    <w:lvl w:ilvl="0" w:tplc="CF22C7AC">
      <w:start w:val="1"/>
      <w:numFmt w:val="bullet"/>
      <w:pStyle w:val="Paragraphedeliste"/>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12"/>
  </w:num>
  <w:num w:numId="2">
    <w:abstractNumId w:val="9"/>
  </w:num>
  <w:num w:numId="3">
    <w:abstractNumId w:val="11"/>
  </w:num>
  <w:num w:numId="4">
    <w:abstractNumId w:val="1"/>
  </w:num>
  <w:num w:numId="5">
    <w:abstractNumId w:val="4"/>
  </w:num>
  <w:num w:numId="6">
    <w:abstractNumId w:val="8"/>
  </w:num>
  <w:num w:numId="7">
    <w:abstractNumId w:val="10"/>
  </w:num>
  <w:num w:numId="8">
    <w:abstractNumId w:val="0"/>
  </w:num>
  <w:num w:numId="9">
    <w:abstractNumId w:val="7"/>
  </w:num>
  <w:num w:numId="10">
    <w:abstractNumId w:val="6"/>
  </w:num>
  <w:num w:numId="11">
    <w:abstractNumId w:val="5"/>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79"/>
    <w:rsid w:val="00065918"/>
    <w:rsid w:val="000A736A"/>
    <w:rsid w:val="000F38E1"/>
    <w:rsid w:val="0015517A"/>
    <w:rsid w:val="00196D8B"/>
    <w:rsid w:val="00222265"/>
    <w:rsid w:val="00247DB2"/>
    <w:rsid w:val="00250974"/>
    <w:rsid w:val="00271232"/>
    <w:rsid w:val="002746CA"/>
    <w:rsid w:val="002A1628"/>
    <w:rsid w:val="002C2609"/>
    <w:rsid w:val="002E654C"/>
    <w:rsid w:val="00335122"/>
    <w:rsid w:val="00356FBA"/>
    <w:rsid w:val="003664DE"/>
    <w:rsid w:val="003942F9"/>
    <w:rsid w:val="004339DC"/>
    <w:rsid w:val="00474DC3"/>
    <w:rsid w:val="004E110F"/>
    <w:rsid w:val="004E5411"/>
    <w:rsid w:val="005603AF"/>
    <w:rsid w:val="00566616"/>
    <w:rsid w:val="005921D6"/>
    <w:rsid w:val="005B59D8"/>
    <w:rsid w:val="00647D2C"/>
    <w:rsid w:val="00695C3E"/>
    <w:rsid w:val="00730FE0"/>
    <w:rsid w:val="00734B59"/>
    <w:rsid w:val="00746D8A"/>
    <w:rsid w:val="007A19A7"/>
    <w:rsid w:val="007B0A2C"/>
    <w:rsid w:val="007C4502"/>
    <w:rsid w:val="008A0706"/>
    <w:rsid w:val="008B5D06"/>
    <w:rsid w:val="008E56A8"/>
    <w:rsid w:val="0090775B"/>
    <w:rsid w:val="0096015F"/>
    <w:rsid w:val="00A30E7A"/>
    <w:rsid w:val="00A3784E"/>
    <w:rsid w:val="00A410EC"/>
    <w:rsid w:val="00A810B9"/>
    <w:rsid w:val="00B41503"/>
    <w:rsid w:val="00B55C5F"/>
    <w:rsid w:val="00B65D15"/>
    <w:rsid w:val="00BB193A"/>
    <w:rsid w:val="00BF47E9"/>
    <w:rsid w:val="00C066F6"/>
    <w:rsid w:val="00C331F0"/>
    <w:rsid w:val="00C33551"/>
    <w:rsid w:val="00C60F5B"/>
    <w:rsid w:val="00CA0F2C"/>
    <w:rsid w:val="00D1296E"/>
    <w:rsid w:val="00D5594F"/>
    <w:rsid w:val="00D61179"/>
    <w:rsid w:val="00D62552"/>
    <w:rsid w:val="00D62E2C"/>
    <w:rsid w:val="00D93B79"/>
    <w:rsid w:val="00D96792"/>
    <w:rsid w:val="00DB7728"/>
    <w:rsid w:val="00DF39B6"/>
    <w:rsid w:val="00E0086F"/>
    <w:rsid w:val="00E12B70"/>
    <w:rsid w:val="00E15A80"/>
    <w:rsid w:val="00E24A97"/>
    <w:rsid w:val="00F103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character" w:styleId="Lienhypertexte">
    <w:name w:val="Hyperlink"/>
    <w:basedOn w:val="Policepardfaut"/>
    <w:uiPriority w:val="99"/>
    <w:unhideWhenUsed/>
    <w:rsid w:val="00BF47E9"/>
    <w:rPr>
      <w:color w:val="0000FF" w:themeColor="hyperlink"/>
      <w:u w:val="single"/>
    </w:rPr>
  </w:style>
  <w:style w:type="character" w:styleId="Lienhypertextesuivivisit">
    <w:name w:val="FollowedHyperlink"/>
    <w:basedOn w:val="Policepardfaut"/>
    <w:uiPriority w:val="99"/>
    <w:semiHidden/>
    <w:unhideWhenUsed/>
    <w:rsid w:val="007A19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character" w:styleId="Lienhypertexte">
    <w:name w:val="Hyperlink"/>
    <w:basedOn w:val="Policepardfaut"/>
    <w:uiPriority w:val="99"/>
    <w:unhideWhenUsed/>
    <w:rsid w:val="00BF47E9"/>
    <w:rPr>
      <w:color w:val="0000FF" w:themeColor="hyperlink"/>
      <w:u w:val="single"/>
    </w:rPr>
  </w:style>
  <w:style w:type="character" w:styleId="Lienhypertextesuivivisit">
    <w:name w:val="FollowedHyperlink"/>
    <w:basedOn w:val="Policepardfaut"/>
    <w:uiPriority w:val="99"/>
    <w:semiHidden/>
    <w:unhideWhenUsed/>
    <w:rsid w:val="007A19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5992">
      <w:bodyDiv w:val="1"/>
      <w:marLeft w:val="0"/>
      <w:marRight w:val="0"/>
      <w:marTop w:val="0"/>
      <w:marBottom w:val="0"/>
      <w:divBdr>
        <w:top w:val="none" w:sz="0" w:space="0" w:color="auto"/>
        <w:left w:val="none" w:sz="0" w:space="0" w:color="auto"/>
        <w:bottom w:val="none" w:sz="0" w:space="0" w:color="auto"/>
        <w:right w:val="none" w:sz="0" w:space="0" w:color="auto"/>
      </w:divBdr>
    </w:div>
    <w:div w:id="384794552">
      <w:bodyDiv w:val="1"/>
      <w:marLeft w:val="0"/>
      <w:marRight w:val="0"/>
      <w:marTop w:val="0"/>
      <w:marBottom w:val="0"/>
      <w:divBdr>
        <w:top w:val="none" w:sz="0" w:space="0" w:color="auto"/>
        <w:left w:val="none" w:sz="0" w:space="0" w:color="auto"/>
        <w:bottom w:val="none" w:sz="0" w:space="0" w:color="auto"/>
        <w:right w:val="none" w:sz="0" w:space="0" w:color="auto"/>
      </w:divBdr>
    </w:div>
    <w:div w:id="431164225">
      <w:bodyDiv w:val="1"/>
      <w:marLeft w:val="0"/>
      <w:marRight w:val="0"/>
      <w:marTop w:val="0"/>
      <w:marBottom w:val="0"/>
      <w:divBdr>
        <w:top w:val="none" w:sz="0" w:space="0" w:color="auto"/>
        <w:left w:val="none" w:sz="0" w:space="0" w:color="auto"/>
        <w:bottom w:val="none" w:sz="0" w:space="0" w:color="auto"/>
        <w:right w:val="none" w:sz="0" w:space="0" w:color="auto"/>
      </w:divBdr>
    </w:div>
    <w:div w:id="606884619">
      <w:bodyDiv w:val="1"/>
      <w:marLeft w:val="0"/>
      <w:marRight w:val="0"/>
      <w:marTop w:val="0"/>
      <w:marBottom w:val="0"/>
      <w:divBdr>
        <w:top w:val="none" w:sz="0" w:space="0" w:color="auto"/>
        <w:left w:val="none" w:sz="0" w:space="0" w:color="auto"/>
        <w:bottom w:val="none" w:sz="0" w:space="0" w:color="auto"/>
        <w:right w:val="none" w:sz="0" w:space="0" w:color="auto"/>
      </w:divBdr>
    </w:div>
    <w:div w:id="1157645232">
      <w:bodyDiv w:val="1"/>
      <w:marLeft w:val="0"/>
      <w:marRight w:val="0"/>
      <w:marTop w:val="0"/>
      <w:marBottom w:val="0"/>
      <w:divBdr>
        <w:top w:val="none" w:sz="0" w:space="0" w:color="auto"/>
        <w:left w:val="none" w:sz="0" w:space="0" w:color="auto"/>
        <w:bottom w:val="none" w:sz="0" w:space="0" w:color="auto"/>
        <w:right w:val="none" w:sz="0" w:space="0" w:color="auto"/>
      </w:divBdr>
    </w:div>
    <w:div w:id="1483619282">
      <w:bodyDiv w:val="1"/>
      <w:marLeft w:val="0"/>
      <w:marRight w:val="0"/>
      <w:marTop w:val="0"/>
      <w:marBottom w:val="0"/>
      <w:divBdr>
        <w:top w:val="none" w:sz="0" w:space="0" w:color="auto"/>
        <w:left w:val="none" w:sz="0" w:space="0" w:color="auto"/>
        <w:bottom w:val="none" w:sz="0" w:space="0" w:color="auto"/>
        <w:right w:val="none" w:sz="0" w:space="0" w:color="auto"/>
      </w:divBdr>
    </w:div>
    <w:div w:id="1783331729">
      <w:bodyDiv w:val="1"/>
      <w:marLeft w:val="0"/>
      <w:marRight w:val="0"/>
      <w:marTop w:val="0"/>
      <w:marBottom w:val="0"/>
      <w:divBdr>
        <w:top w:val="none" w:sz="0" w:space="0" w:color="auto"/>
        <w:left w:val="none" w:sz="0" w:space="0" w:color="auto"/>
        <w:bottom w:val="none" w:sz="0" w:space="0" w:color="auto"/>
        <w:right w:val="none" w:sz="0" w:space="0" w:color="auto"/>
      </w:divBdr>
    </w:div>
    <w:div w:id="195778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528FC-076B-4C38-A6A6-FCFB44F8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316</Words>
  <Characters>1738</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POJOLAT</dc:creator>
  <cp:lastModifiedBy>Claude POJOLAT</cp:lastModifiedBy>
  <cp:revision>5</cp:revision>
  <dcterms:created xsi:type="dcterms:W3CDTF">2016-04-27T13:20:00Z</dcterms:created>
  <dcterms:modified xsi:type="dcterms:W3CDTF">2016-04-28T19:04:00Z</dcterms:modified>
</cp:coreProperties>
</file>