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A96EFB" w:rsidP="004E5411">
      <w:pPr>
        <w:spacing w:before="120" w:line="240" w:lineRule="auto"/>
        <w:jc w:val="center"/>
        <w:rPr>
          <w:rFonts w:cs="Calibri"/>
          <w:sz w:val="28"/>
          <w:u w:val="single"/>
          <w:lang w:eastAsia="fr-FR"/>
        </w:rPr>
      </w:pPr>
      <w:r w:rsidRPr="00A96EFB">
        <w:rPr>
          <w:rFonts w:cs="Arial"/>
          <w:b/>
          <w:bCs/>
          <w:iCs/>
          <w:sz w:val="28"/>
          <w:highlight w:val="green"/>
          <w:u w:val="single"/>
          <w:lang w:eastAsia="fr-FR"/>
        </w:rPr>
        <w:t>PR</w:t>
      </w:r>
      <w:r w:rsidR="00F44C1E">
        <w:rPr>
          <w:rFonts w:cs="Arial"/>
          <w:b/>
          <w:bCs/>
          <w:iCs/>
          <w:sz w:val="28"/>
          <w:highlight w:val="green"/>
          <w:u w:val="single"/>
          <w:lang w:eastAsia="fr-FR"/>
        </w:rPr>
        <w:t>É</w:t>
      </w:r>
      <w:r w:rsidRPr="00A96EFB">
        <w:rPr>
          <w:rFonts w:cs="Arial"/>
          <w:b/>
          <w:bCs/>
          <w:iCs/>
          <w:sz w:val="28"/>
          <w:highlight w:val="green"/>
          <w:u w:val="single"/>
          <w:lang w:eastAsia="fr-FR"/>
        </w:rPr>
        <w:t xml:space="preserve">VENTION DES RISQUES </w:t>
      </w:r>
      <w:r w:rsidR="00F44C1E">
        <w:rPr>
          <w:rFonts w:cs="Arial"/>
          <w:b/>
          <w:bCs/>
          <w:iCs/>
          <w:sz w:val="28"/>
          <w:highlight w:val="green"/>
          <w:u w:val="single"/>
          <w:lang w:eastAsia="fr-FR"/>
        </w:rPr>
        <w:t>D’ORIGINE ÉLECTRIQUE</w:t>
      </w:r>
    </w:p>
    <w:p w:rsidR="00BB193A" w:rsidRDefault="00BB193A" w:rsidP="00777710">
      <w:pPr>
        <w:pStyle w:val="Texte"/>
        <w:spacing w:before="120"/>
        <w:ind w:firstLine="0"/>
        <w:contextualSpacing/>
        <w:jc w:val="both"/>
        <w:rPr>
          <w:sz w:val="24"/>
          <w:szCs w:val="22"/>
        </w:rPr>
      </w:pPr>
    </w:p>
    <w:p w:rsidR="00F44C1E" w:rsidRPr="00777710" w:rsidRDefault="00D331FC" w:rsidP="00777710">
      <w:pPr>
        <w:pStyle w:val="Texte"/>
        <w:spacing w:before="120"/>
        <w:ind w:firstLine="0"/>
        <w:contextualSpacing/>
        <w:jc w:val="both"/>
        <w:rPr>
          <w:sz w:val="24"/>
          <w:szCs w:val="22"/>
        </w:rPr>
      </w:pPr>
      <w:r>
        <w:rPr>
          <w:sz w:val="24"/>
          <w:szCs w:val="22"/>
        </w:rPr>
        <w:t xml:space="preserve"> </w:t>
      </w:r>
      <w:bookmarkStart w:id="0" w:name="_GoBack"/>
      <w:bookmarkEnd w:id="0"/>
    </w:p>
    <w:p w:rsidR="00F44C1E" w:rsidRPr="00F44C1E" w:rsidRDefault="00F44C1E" w:rsidP="00F44C1E">
      <w:pPr>
        <w:jc w:val="both"/>
        <w:rPr>
          <w:b/>
          <w:sz w:val="24"/>
          <w:szCs w:val="24"/>
          <w:u w:val="single"/>
        </w:rPr>
      </w:pPr>
      <w:r w:rsidRPr="00F44C1E">
        <w:rPr>
          <w:b/>
          <w:sz w:val="24"/>
          <w:szCs w:val="24"/>
          <w:u w:val="single"/>
        </w:rPr>
        <w:t>Principes généraux de la formation à la prévention des risques d’origine électrique</w:t>
      </w:r>
      <w:r w:rsidRPr="00F44C1E">
        <w:rPr>
          <w:b/>
          <w:sz w:val="24"/>
          <w:szCs w:val="24"/>
        </w:rPr>
        <w:t> :</w:t>
      </w:r>
      <w:r w:rsidRPr="00F44C1E">
        <w:rPr>
          <w:b/>
          <w:sz w:val="24"/>
          <w:szCs w:val="24"/>
          <w:u w:val="single"/>
        </w:rPr>
        <w:t xml:space="preserve"> </w:t>
      </w:r>
    </w:p>
    <w:p w:rsidR="00777710" w:rsidRPr="00777710" w:rsidRDefault="00777710" w:rsidP="00777710">
      <w:pPr>
        <w:spacing w:before="120" w:line="240" w:lineRule="auto"/>
        <w:jc w:val="both"/>
        <w:rPr>
          <w:sz w:val="22"/>
        </w:rPr>
      </w:pPr>
      <w:r w:rsidRPr="00777710">
        <w:rPr>
          <w:sz w:val="22"/>
        </w:rPr>
        <w:t xml:space="preserve">L’enseignement de la prévention de risques d’origine électrique demeure un aspect fondamental de la formation qui débute dès l’entrée en formation. Son enseignement est </w:t>
      </w:r>
      <w:r w:rsidRPr="00777710">
        <w:rPr>
          <w:sz w:val="22"/>
          <w:u w:val="single"/>
        </w:rPr>
        <w:t>intégré</w:t>
      </w:r>
      <w:r w:rsidRPr="00777710">
        <w:rPr>
          <w:sz w:val="22"/>
        </w:rPr>
        <w:t xml:space="preserve"> aux activités proposées, en particulier pour les tâches pratiques. Tous les formateurs intervenant dans la formation sont donc concernés à part entière. Il n’est pas envisageable de « déléguer » ce domaine de compétence à un seul formateur, ni de regrouper cet enseignement sur la dernière année de formation. </w:t>
      </w:r>
    </w:p>
    <w:p w:rsidR="00777710" w:rsidRPr="00777710" w:rsidRDefault="00777710" w:rsidP="00777710">
      <w:pPr>
        <w:spacing w:before="120" w:line="240" w:lineRule="auto"/>
        <w:jc w:val="both"/>
        <w:rPr>
          <w:sz w:val="22"/>
        </w:rPr>
      </w:pPr>
      <w:r w:rsidRPr="00777710">
        <w:rPr>
          <w:sz w:val="22"/>
        </w:rPr>
        <w:t>Chacune des activités menées sur le plateau technique respecte le cadre légal de la réglementation en vigueur.</w:t>
      </w:r>
    </w:p>
    <w:p w:rsidR="00777710" w:rsidRDefault="00777710" w:rsidP="00777710">
      <w:pPr>
        <w:spacing w:before="120" w:line="240" w:lineRule="auto"/>
        <w:jc w:val="both"/>
        <w:rPr>
          <w:sz w:val="22"/>
        </w:rPr>
      </w:pPr>
      <w:r w:rsidRPr="00777710">
        <w:rPr>
          <w:sz w:val="22"/>
        </w:rPr>
        <w:t xml:space="preserve">Les formateurs conçoivent un parcours de formation dans lequel les activités forment progressivement les apprenants à la </w:t>
      </w:r>
      <w:r w:rsidRPr="00777710">
        <w:rPr>
          <w:sz w:val="22"/>
          <w:u w:val="single"/>
        </w:rPr>
        <w:t>démarche d’analyse des risques</w:t>
      </w:r>
      <w:r w:rsidRPr="00777710">
        <w:rPr>
          <w:sz w:val="22"/>
        </w:rPr>
        <w:t xml:space="preserve">. </w:t>
      </w:r>
      <w:r w:rsidRPr="00777710">
        <w:rPr>
          <w:b/>
          <w:sz w:val="22"/>
        </w:rPr>
        <w:t>Dans tous les cas il convient de leur proposer des activités pour lesquelles ils ont reçu un niveau d’information leur permettant de les mener en toute sécurité.</w:t>
      </w:r>
      <w:r w:rsidRPr="00777710">
        <w:rPr>
          <w:sz w:val="22"/>
        </w:rPr>
        <w:t xml:space="preserve"> À plus long terme il s’agit de leur permettre d’acquérir une autonomie suffisante pour exécuter les travaux professionnels selon les niveaux d’habilitation prévus dans le référentiel de formation à la prévention des risques d’origine électrique (une annexe  précise les niveaux d’habilitation exigibles pour chaque diplôme).</w:t>
      </w:r>
    </w:p>
    <w:p w:rsidR="00F44C1E" w:rsidRPr="00D107F2" w:rsidRDefault="00F44C1E" w:rsidP="00AF31D1">
      <w:pPr>
        <w:spacing w:before="120"/>
        <w:jc w:val="both"/>
        <w:rPr>
          <w:color w:val="000000" w:themeColor="text1"/>
          <w:sz w:val="22"/>
        </w:rPr>
      </w:pPr>
      <w:r w:rsidRPr="00D107F2">
        <w:rPr>
          <w:color w:val="000000" w:themeColor="text1"/>
          <w:sz w:val="22"/>
        </w:rPr>
        <w:t xml:space="preserve">La formation et l’évaluation se réfèrent au référentiel spécifique de formation où les situations sont décrites. Il est nécessaire qu’elles soient pratiquées sur des équipements, systèmes terminaux, installations, faisant partie des supports utilisés par les </w:t>
      </w:r>
      <w:r w:rsidR="002D3B52" w:rsidRPr="00D107F2">
        <w:rPr>
          <w:color w:val="000000" w:themeColor="text1"/>
          <w:sz w:val="22"/>
        </w:rPr>
        <w:t>apprenants</w:t>
      </w:r>
      <w:r w:rsidRPr="00D107F2">
        <w:rPr>
          <w:color w:val="000000" w:themeColor="text1"/>
          <w:sz w:val="22"/>
        </w:rPr>
        <w:t xml:space="preserve"> tout au long du cursus de formation.</w:t>
      </w:r>
    </w:p>
    <w:p w:rsidR="00F44C1E" w:rsidRPr="00D107F2" w:rsidRDefault="00F44C1E" w:rsidP="00F44C1E">
      <w:pPr>
        <w:jc w:val="both"/>
        <w:rPr>
          <w:color w:val="000000" w:themeColor="text1"/>
          <w:sz w:val="22"/>
        </w:rPr>
      </w:pPr>
      <w:r w:rsidRPr="00D107F2">
        <w:rPr>
          <w:color w:val="000000" w:themeColor="text1"/>
          <w:sz w:val="22"/>
        </w:rPr>
        <w:t>La formation à cette démarche de prévention fait partie intégrante de la mission des enseignants</w:t>
      </w:r>
      <w:r w:rsidR="00E4624A" w:rsidRPr="00D107F2">
        <w:rPr>
          <w:color w:val="000000" w:themeColor="text1"/>
          <w:sz w:val="22"/>
        </w:rPr>
        <w:t xml:space="preserve"> formateurs</w:t>
      </w:r>
      <w:r w:rsidRPr="00D107F2">
        <w:rPr>
          <w:color w:val="000000" w:themeColor="text1"/>
          <w:sz w:val="22"/>
        </w:rPr>
        <w:t xml:space="preserve">. À ce titre, ils en assurent les deux étapes : une formation théorique </w:t>
      </w:r>
      <w:r w:rsidR="00AF31D1" w:rsidRPr="00D107F2">
        <w:rPr>
          <w:color w:val="000000" w:themeColor="text1"/>
          <w:sz w:val="22"/>
        </w:rPr>
        <w:t xml:space="preserve">et </w:t>
      </w:r>
      <w:r w:rsidRPr="00D107F2">
        <w:rPr>
          <w:color w:val="000000" w:themeColor="text1"/>
          <w:sz w:val="22"/>
        </w:rPr>
        <w:t>une formation pratique. Ces deux étapes comportent chacune une validation.</w:t>
      </w:r>
    </w:p>
    <w:p w:rsidR="00F44C1E" w:rsidRPr="00D107F2" w:rsidRDefault="00F44C1E" w:rsidP="00F44C1E">
      <w:pPr>
        <w:jc w:val="both"/>
        <w:rPr>
          <w:color w:val="000000" w:themeColor="text1"/>
          <w:sz w:val="22"/>
        </w:rPr>
      </w:pPr>
      <w:r w:rsidRPr="00D107F2">
        <w:rPr>
          <w:color w:val="000000" w:themeColor="text1"/>
          <w:sz w:val="22"/>
        </w:rPr>
        <w:t>La certification de la formation à l’habilitation électrique intervient dès que tous les acquis théoriques et pratiques, correspondant au niveau d’habilitation visé, sont validés par l’enseignant formateur. Elle est établie par le Chef d’établissement qui signe l’attestation de formation.</w:t>
      </w:r>
      <w:r w:rsidR="001232B5" w:rsidRPr="00D107F2">
        <w:rPr>
          <w:color w:val="000000" w:themeColor="text1"/>
          <w:sz w:val="22"/>
        </w:rPr>
        <w:t xml:space="preserve"> </w:t>
      </w:r>
    </w:p>
    <w:p w:rsidR="00F44C1E" w:rsidRPr="00D107F2" w:rsidRDefault="00F44C1E" w:rsidP="00F44C1E">
      <w:pPr>
        <w:jc w:val="both"/>
        <w:rPr>
          <w:color w:val="000000" w:themeColor="text1"/>
        </w:rPr>
      </w:pPr>
    </w:p>
    <w:p w:rsidR="00F44C1E" w:rsidRPr="00D107F2" w:rsidRDefault="00F44C1E" w:rsidP="00F44C1E">
      <w:pPr>
        <w:jc w:val="both"/>
        <w:rPr>
          <w:color w:val="000000" w:themeColor="text1"/>
        </w:rPr>
      </w:pPr>
    </w:p>
    <w:p w:rsidR="00F44C1E" w:rsidRPr="00D107F2" w:rsidRDefault="00F44C1E" w:rsidP="00F44C1E">
      <w:pPr>
        <w:jc w:val="both"/>
        <w:rPr>
          <w:b/>
          <w:color w:val="000000" w:themeColor="text1"/>
          <w:sz w:val="24"/>
          <w:szCs w:val="24"/>
          <w:u w:val="single"/>
        </w:rPr>
      </w:pPr>
      <w:r w:rsidRPr="00D107F2">
        <w:rPr>
          <w:b/>
          <w:color w:val="000000" w:themeColor="text1"/>
          <w:sz w:val="24"/>
          <w:szCs w:val="24"/>
          <w:u w:val="single"/>
        </w:rPr>
        <w:t xml:space="preserve">Application des règles de protection aux </w:t>
      </w:r>
      <w:r w:rsidR="002D3B52" w:rsidRPr="00D107F2">
        <w:rPr>
          <w:b/>
          <w:color w:val="000000" w:themeColor="text1"/>
          <w:sz w:val="24"/>
          <w:szCs w:val="24"/>
          <w:u w:val="single"/>
        </w:rPr>
        <w:t>apprenants</w:t>
      </w:r>
      <w:r w:rsidRPr="00D107F2">
        <w:rPr>
          <w:b/>
          <w:color w:val="000000" w:themeColor="text1"/>
          <w:sz w:val="24"/>
          <w:szCs w:val="24"/>
        </w:rPr>
        <w:t xml:space="preserve"> :</w:t>
      </w:r>
    </w:p>
    <w:p w:rsidR="00F44C1E" w:rsidRPr="00D107F2" w:rsidRDefault="00F44C1E" w:rsidP="00F44C1E">
      <w:pPr>
        <w:spacing w:before="120"/>
        <w:jc w:val="both"/>
        <w:rPr>
          <w:color w:val="000000" w:themeColor="text1"/>
          <w:sz w:val="22"/>
        </w:rPr>
      </w:pPr>
      <w:r w:rsidRPr="00D107F2">
        <w:rPr>
          <w:color w:val="000000" w:themeColor="text1"/>
          <w:sz w:val="22"/>
        </w:rPr>
        <w:t xml:space="preserve">L’enseignement des risques électriques ainsi que les différentes opérations effectuées par les </w:t>
      </w:r>
      <w:r w:rsidR="002D3B52" w:rsidRPr="00D107F2">
        <w:rPr>
          <w:color w:val="000000" w:themeColor="text1"/>
          <w:sz w:val="22"/>
        </w:rPr>
        <w:t>apprenants</w:t>
      </w:r>
      <w:r w:rsidRPr="00D107F2">
        <w:rPr>
          <w:color w:val="000000" w:themeColor="text1"/>
          <w:sz w:val="22"/>
        </w:rPr>
        <w:t xml:space="preserve"> sur les installations électriques, nécessitent un équipement de protection approprié. </w:t>
      </w:r>
    </w:p>
    <w:p w:rsidR="00F44C1E" w:rsidRPr="00D107F2" w:rsidRDefault="00F44C1E" w:rsidP="00F44C1E">
      <w:pPr>
        <w:jc w:val="both"/>
        <w:rPr>
          <w:strike/>
          <w:color w:val="000000" w:themeColor="text1"/>
          <w:sz w:val="22"/>
        </w:rPr>
      </w:pPr>
      <w:r w:rsidRPr="00D107F2">
        <w:rPr>
          <w:color w:val="000000" w:themeColor="text1"/>
          <w:sz w:val="22"/>
        </w:rPr>
        <w:t>Il est donc indispensable que lors de ces opérations dans les zones spécialisées, les équipements de protection individuel (EPI), équipement individuel de sécurité (EIS), équipement collectif de sécurité (ECS) soient présents et utilisés, après identification des dangers et analyse des risques. Ils doivent être conformes et en bon état d’usage</w:t>
      </w:r>
      <w:r w:rsidR="00AF31D1" w:rsidRPr="00D107F2">
        <w:rPr>
          <w:color w:val="000000" w:themeColor="text1"/>
          <w:sz w:val="22"/>
        </w:rPr>
        <w:t>.</w:t>
      </w:r>
      <w:r w:rsidRPr="00D107F2">
        <w:rPr>
          <w:color w:val="000000" w:themeColor="text1"/>
          <w:sz w:val="22"/>
        </w:rPr>
        <w:t xml:space="preserve"> </w:t>
      </w:r>
    </w:p>
    <w:p w:rsidR="00F44C1E" w:rsidRPr="00D107F2" w:rsidRDefault="00F44C1E" w:rsidP="001232B5">
      <w:pPr>
        <w:spacing w:before="120"/>
        <w:jc w:val="both"/>
        <w:rPr>
          <w:color w:val="000000" w:themeColor="text1"/>
          <w:sz w:val="22"/>
        </w:rPr>
      </w:pPr>
      <w:r w:rsidRPr="00D107F2">
        <w:rPr>
          <w:color w:val="000000" w:themeColor="text1"/>
          <w:sz w:val="22"/>
        </w:rPr>
        <w:t xml:space="preserve">Afin d’acquérir l’intégralité des connaissances et des compétences nécessaires pour exercer une activité professionnelle en toute sécurité et de façon à ce que la composante prévention du risque soit perçue dans toute son importance, les </w:t>
      </w:r>
      <w:r w:rsidR="002D3B52" w:rsidRPr="00D107F2">
        <w:rPr>
          <w:color w:val="000000" w:themeColor="text1"/>
          <w:sz w:val="22"/>
        </w:rPr>
        <w:t>apprenants</w:t>
      </w:r>
      <w:r w:rsidRPr="00D107F2">
        <w:rPr>
          <w:color w:val="000000" w:themeColor="text1"/>
          <w:sz w:val="22"/>
        </w:rPr>
        <w:t xml:space="preserve"> doivent s’exercer à un certain nombre de tâches, en vue de les maîtriser, dans des conditions réelles de travail.</w:t>
      </w:r>
    </w:p>
    <w:p w:rsidR="00F44C1E" w:rsidRPr="00D107F2" w:rsidRDefault="00F44C1E" w:rsidP="001232B5">
      <w:pPr>
        <w:spacing w:before="120"/>
        <w:jc w:val="both"/>
        <w:rPr>
          <w:color w:val="000000" w:themeColor="text1"/>
          <w:sz w:val="22"/>
        </w:rPr>
      </w:pPr>
      <w:r w:rsidRPr="00D107F2">
        <w:rPr>
          <w:color w:val="000000" w:themeColor="text1"/>
          <w:sz w:val="22"/>
        </w:rPr>
        <w:t xml:space="preserve">Avant toutes interventions ou travaux, il est nécessaire de conduire une analyse des risques et de prendre toutes les précautions adaptées aux différentes activités sur les </w:t>
      </w:r>
      <w:r w:rsidR="002D3B52" w:rsidRPr="00D107F2">
        <w:rPr>
          <w:color w:val="000000" w:themeColor="text1"/>
          <w:sz w:val="22"/>
        </w:rPr>
        <w:t>installations</w:t>
      </w:r>
      <w:r w:rsidRPr="00D107F2">
        <w:rPr>
          <w:color w:val="000000" w:themeColor="text1"/>
          <w:sz w:val="22"/>
        </w:rPr>
        <w:t xml:space="preserve"> électriques en respectant les principes généraux de prévention.</w:t>
      </w:r>
    </w:p>
    <w:p w:rsidR="001232B5" w:rsidRPr="00D107F2" w:rsidRDefault="001232B5" w:rsidP="00F44C1E">
      <w:pPr>
        <w:jc w:val="both"/>
        <w:rPr>
          <w:color w:val="000000" w:themeColor="text1"/>
          <w:sz w:val="22"/>
        </w:rPr>
      </w:pPr>
    </w:p>
    <w:p w:rsidR="001232B5" w:rsidRDefault="001232B5" w:rsidP="00F44C1E">
      <w:pPr>
        <w:jc w:val="both"/>
        <w:rPr>
          <w:sz w:val="22"/>
        </w:rPr>
      </w:pPr>
    </w:p>
    <w:p w:rsidR="001232B5" w:rsidRDefault="001232B5" w:rsidP="00F44C1E">
      <w:pPr>
        <w:jc w:val="both"/>
        <w:rPr>
          <w:sz w:val="22"/>
        </w:rPr>
      </w:pPr>
    </w:p>
    <w:p w:rsidR="001232B5" w:rsidRDefault="001232B5" w:rsidP="00F44C1E">
      <w:pPr>
        <w:jc w:val="both"/>
        <w:rPr>
          <w:sz w:val="22"/>
        </w:rPr>
      </w:pPr>
    </w:p>
    <w:p w:rsidR="002D3B52" w:rsidRDefault="002D3B52" w:rsidP="00F44C1E">
      <w:pPr>
        <w:jc w:val="both"/>
        <w:rPr>
          <w:color w:val="002060"/>
          <w:sz w:val="22"/>
        </w:rPr>
      </w:pPr>
    </w:p>
    <w:p w:rsidR="00F44C1E" w:rsidRPr="00D107F2" w:rsidRDefault="00F44C1E" w:rsidP="00F44C1E">
      <w:pPr>
        <w:jc w:val="both"/>
        <w:rPr>
          <w:color w:val="000000" w:themeColor="text1"/>
          <w:sz w:val="22"/>
        </w:rPr>
      </w:pPr>
      <w:r w:rsidRPr="00D107F2">
        <w:rPr>
          <w:color w:val="000000" w:themeColor="text1"/>
          <w:sz w:val="22"/>
        </w:rPr>
        <w:t xml:space="preserve">Lorsque les </w:t>
      </w:r>
      <w:r w:rsidR="002D3B52" w:rsidRPr="00D107F2">
        <w:rPr>
          <w:color w:val="000000" w:themeColor="text1"/>
          <w:sz w:val="22"/>
        </w:rPr>
        <w:t>apprenants</w:t>
      </w:r>
      <w:r w:rsidRPr="00D107F2">
        <w:rPr>
          <w:color w:val="000000" w:themeColor="text1"/>
          <w:sz w:val="22"/>
        </w:rPr>
        <w:t xml:space="preserve"> doivent effectuer des travaux, ceux-ci doivent être réalisés alors que l’installation est hors tension. Pour ce faire, l’installation ou l’équipement doit avoir été consigné. </w:t>
      </w:r>
      <w:r w:rsidR="002D3B52" w:rsidRPr="00D107F2">
        <w:rPr>
          <w:color w:val="000000" w:themeColor="text1"/>
          <w:sz w:val="22"/>
        </w:rPr>
        <w:t>Une a</w:t>
      </w:r>
      <w:r w:rsidRPr="00D107F2">
        <w:rPr>
          <w:color w:val="000000" w:themeColor="text1"/>
          <w:sz w:val="22"/>
        </w:rPr>
        <w:t xml:space="preserve">ttention </w:t>
      </w:r>
      <w:r w:rsidR="002D3B52" w:rsidRPr="00D107F2">
        <w:rPr>
          <w:color w:val="000000" w:themeColor="text1"/>
          <w:sz w:val="22"/>
        </w:rPr>
        <w:t xml:space="preserve">particulière est à portée </w:t>
      </w:r>
      <w:r w:rsidRPr="00D107F2">
        <w:rPr>
          <w:color w:val="000000" w:themeColor="text1"/>
          <w:sz w:val="22"/>
        </w:rPr>
        <w:t>aux dispositifs de consignation non fiables et non sécurisés sur certains postes de mise en service (</w:t>
      </w:r>
      <w:r w:rsidR="002D3B52" w:rsidRPr="00D107F2">
        <w:rPr>
          <w:color w:val="000000" w:themeColor="text1"/>
          <w:sz w:val="22"/>
        </w:rPr>
        <w:t>par exemple</w:t>
      </w:r>
      <w:r w:rsidRPr="00D107F2">
        <w:rPr>
          <w:color w:val="000000" w:themeColor="text1"/>
          <w:sz w:val="22"/>
        </w:rPr>
        <w:t xml:space="preserve"> clé 455</w:t>
      </w:r>
      <w:r w:rsidR="002D3B52" w:rsidRPr="00D107F2">
        <w:rPr>
          <w:color w:val="000000" w:themeColor="text1"/>
          <w:sz w:val="22"/>
        </w:rPr>
        <w:t xml:space="preserve"> possédée par certains apprenants</w:t>
      </w:r>
      <w:r w:rsidRPr="00D107F2">
        <w:rPr>
          <w:color w:val="000000" w:themeColor="text1"/>
          <w:sz w:val="22"/>
        </w:rPr>
        <w:t>)</w:t>
      </w:r>
      <w:r w:rsidR="002D3B52" w:rsidRPr="00D107F2">
        <w:rPr>
          <w:color w:val="000000" w:themeColor="text1"/>
          <w:sz w:val="22"/>
        </w:rPr>
        <w:t>.</w:t>
      </w:r>
    </w:p>
    <w:p w:rsidR="00F44C1E" w:rsidRPr="00D107F2" w:rsidRDefault="00F44C1E" w:rsidP="001232B5">
      <w:pPr>
        <w:spacing w:before="120"/>
        <w:jc w:val="both"/>
        <w:rPr>
          <w:color w:val="000000" w:themeColor="text1"/>
          <w:sz w:val="22"/>
        </w:rPr>
      </w:pPr>
      <w:r w:rsidRPr="00D107F2">
        <w:rPr>
          <w:color w:val="000000" w:themeColor="text1"/>
          <w:sz w:val="22"/>
        </w:rPr>
        <w:t>Dans le cas où la tension est nécessairement présente sur des parties actives nues sous tension toutes les mesures doivent être prises pour supprimer les risques engendrés par le « voisinage ».</w:t>
      </w:r>
    </w:p>
    <w:p w:rsidR="00F44C1E" w:rsidRPr="00D107F2" w:rsidRDefault="00F44C1E" w:rsidP="00F44C1E">
      <w:pPr>
        <w:jc w:val="both"/>
        <w:rPr>
          <w:color w:val="000000" w:themeColor="text1"/>
          <w:sz w:val="22"/>
        </w:rPr>
      </w:pPr>
      <w:r w:rsidRPr="00D107F2">
        <w:rPr>
          <w:color w:val="000000" w:themeColor="text1"/>
          <w:sz w:val="22"/>
        </w:rPr>
        <w:t xml:space="preserve">En pareille situation, les </w:t>
      </w:r>
      <w:r w:rsidR="002D3B52" w:rsidRPr="00D107F2">
        <w:rPr>
          <w:color w:val="000000" w:themeColor="text1"/>
          <w:sz w:val="22"/>
        </w:rPr>
        <w:t>apprenants</w:t>
      </w:r>
      <w:r w:rsidRPr="00D107F2">
        <w:rPr>
          <w:color w:val="000000" w:themeColor="text1"/>
          <w:sz w:val="22"/>
        </w:rPr>
        <w:t xml:space="preserve"> sont alors assimilés à des personnes non averties. Ils doivent donc avoir été instruits des consignes à respecter et être placés </w:t>
      </w:r>
      <w:r w:rsidRPr="00D107F2">
        <w:rPr>
          <w:b/>
          <w:color w:val="000000" w:themeColor="text1"/>
          <w:sz w:val="22"/>
          <w:u w:val="single"/>
        </w:rPr>
        <w:t>sous le contrôle permanent du professeur</w:t>
      </w:r>
      <w:r w:rsidRPr="00D107F2">
        <w:rPr>
          <w:color w:val="000000" w:themeColor="text1"/>
          <w:sz w:val="22"/>
        </w:rPr>
        <w:t>.</w:t>
      </w:r>
    </w:p>
    <w:p w:rsidR="00777710" w:rsidRPr="00D107F2" w:rsidRDefault="00777710" w:rsidP="00F44C1E">
      <w:pPr>
        <w:spacing w:before="120" w:line="240" w:lineRule="auto"/>
        <w:rPr>
          <w:color w:val="000000" w:themeColor="text1"/>
          <w:sz w:val="22"/>
        </w:rPr>
      </w:pPr>
    </w:p>
    <w:p w:rsidR="00AF31D1" w:rsidRPr="00D107F2" w:rsidRDefault="00AF31D1" w:rsidP="00F44C1E">
      <w:pPr>
        <w:spacing w:before="120" w:line="240" w:lineRule="auto"/>
        <w:rPr>
          <w:color w:val="000000" w:themeColor="text1"/>
          <w:sz w:val="22"/>
        </w:rPr>
      </w:pPr>
    </w:p>
    <w:p w:rsidR="001232B5" w:rsidRPr="00D107F2" w:rsidRDefault="00AF31D1" w:rsidP="00F44C1E">
      <w:pPr>
        <w:spacing w:before="120" w:line="240" w:lineRule="auto"/>
        <w:rPr>
          <w:color w:val="000000" w:themeColor="text1"/>
          <w:sz w:val="22"/>
        </w:rPr>
      </w:pPr>
      <w:r w:rsidRPr="00D107F2">
        <w:rPr>
          <w:b/>
          <w:color w:val="000000" w:themeColor="text1"/>
          <w:sz w:val="24"/>
          <w:szCs w:val="24"/>
          <w:u w:val="single"/>
        </w:rPr>
        <w:t>Obligation des enseignants</w:t>
      </w:r>
      <w:r w:rsidRPr="00D107F2">
        <w:rPr>
          <w:color w:val="000000" w:themeColor="text1"/>
          <w:sz w:val="22"/>
        </w:rPr>
        <w:t> : voir référentiel PRE paragraphe 9.1</w:t>
      </w:r>
    </w:p>
    <w:p w:rsidR="00AF31D1" w:rsidRPr="00D107F2" w:rsidRDefault="00AF31D1" w:rsidP="00F44C1E">
      <w:pPr>
        <w:spacing w:before="120" w:line="240" w:lineRule="auto"/>
        <w:rPr>
          <w:color w:val="000000" w:themeColor="text1"/>
          <w:sz w:val="22"/>
        </w:rPr>
      </w:pPr>
    </w:p>
    <w:p w:rsidR="00AF31D1" w:rsidRPr="00D107F2" w:rsidRDefault="00AF31D1" w:rsidP="00F44C1E">
      <w:pPr>
        <w:spacing w:before="120" w:line="240" w:lineRule="auto"/>
        <w:rPr>
          <w:color w:val="000000" w:themeColor="text1"/>
          <w:sz w:val="22"/>
        </w:rPr>
      </w:pPr>
    </w:p>
    <w:p w:rsidR="00AF31D1" w:rsidRPr="00D107F2" w:rsidRDefault="00AF31D1" w:rsidP="00AF31D1">
      <w:pPr>
        <w:jc w:val="both"/>
        <w:rPr>
          <w:b/>
          <w:color w:val="000000" w:themeColor="text1"/>
          <w:sz w:val="24"/>
          <w:szCs w:val="24"/>
          <w:u w:val="single"/>
        </w:rPr>
      </w:pPr>
      <w:r w:rsidRPr="00D107F2">
        <w:rPr>
          <w:b/>
          <w:color w:val="000000" w:themeColor="text1"/>
          <w:sz w:val="24"/>
          <w:szCs w:val="24"/>
          <w:u w:val="single"/>
        </w:rPr>
        <w:t>Formation et PFMP</w:t>
      </w:r>
      <w:r w:rsidRPr="00D107F2">
        <w:rPr>
          <w:b/>
          <w:color w:val="000000" w:themeColor="text1"/>
          <w:sz w:val="24"/>
          <w:szCs w:val="24"/>
        </w:rPr>
        <w:t xml:space="preserve"> :</w:t>
      </w:r>
    </w:p>
    <w:p w:rsidR="00AF31D1" w:rsidRPr="00D107F2" w:rsidRDefault="00AF31D1" w:rsidP="00AF31D1">
      <w:pPr>
        <w:spacing w:before="120"/>
        <w:jc w:val="both"/>
        <w:rPr>
          <w:color w:val="000000" w:themeColor="text1"/>
          <w:sz w:val="22"/>
        </w:rPr>
      </w:pPr>
      <w:r w:rsidRPr="00D107F2">
        <w:rPr>
          <w:color w:val="000000" w:themeColor="text1"/>
          <w:sz w:val="22"/>
        </w:rPr>
        <w:t>La formation à la prévention des risques d’origine électrique a pour objectif de permettre l’habilitation des élèves par leur futur employeur. Elle permet aussi une pratique professionnelle réelle (non limitée à de l’observation) lors des PFMP.</w:t>
      </w:r>
    </w:p>
    <w:p w:rsidR="00AF31D1" w:rsidRPr="00B83453" w:rsidRDefault="00AF31D1" w:rsidP="00AF31D1">
      <w:pPr>
        <w:jc w:val="both"/>
        <w:rPr>
          <w:strike/>
          <w:color w:val="000000" w:themeColor="text1"/>
          <w:sz w:val="22"/>
        </w:rPr>
      </w:pPr>
      <w:r w:rsidRPr="00D107F2">
        <w:rPr>
          <w:color w:val="000000" w:themeColor="text1"/>
          <w:sz w:val="22"/>
        </w:rPr>
        <w:t>L’équipe pédagogique s’attachera à vérifier que le niveau B1V est bien validé avant le départ des élèves en entreprise</w:t>
      </w:r>
      <w:r w:rsidR="00C45876">
        <w:rPr>
          <w:color w:val="000000" w:themeColor="text1"/>
          <w:sz w:val="22"/>
        </w:rPr>
        <w:t>.</w:t>
      </w:r>
    </w:p>
    <w:p w:rsidR="00AF31D1" w:rsidRPr="00D107F2" w:rsidRDefault="00AF31D1" w:rsidP="00AF48D0">
      <w:pPr>
        <w:spacing w:before="120"/>
        <w:jc w:val="both"/>
        <w:rPr>
          <w:color w:val="000000" w:themeColor="text1"/>
          <w:sz w:val="22"/>
        </w:rPr>
      </w:pPr>
      <w:r w:rsidRPr="00D107F2">
        <w:rPr>
          <w:color w:val="000000" w:themeColor="text1"/>
          <w:sz w:val="22"/>
        </w:rPr>
        <w:t xml:space="preserve">Le chef d’entreprise décide ou non d’habiliter l’élève au regard de l’attestation de formation. </w:t>
      </w:r>
      <w:r w:rsidR="00AF48D0" w:rsidRPr="00D107F2">
        <w:rPr>
          <w:color w:val="000000" w:themeColor="text1"/>
          <w:sz w:val="22"/>
        </w:rPr>
        <w:t>Le rôle du formateur</w:t>
      </w:r>
      <w:r w:rsidRPr="00D107F2">
        <w:rPr>
          <w:color w:val="000000" w:themeColor="text1"/>
          <w:sz w:val="22"/>
        </w:rPr>
        <w:t xml:space="preserve"> </w:t>
      </w:r>
      <w:r w:rsidR="00AF48D0" w:rsidRPr="00D107F2">
        <w:rPr>
          <w:color w:val="000000" w:themeColor="text1"/>
          <w:sz w:val="22"/>
        </w:rPr>
        <w:t xml:space="preserve">est de </w:t>
      </w:r>
      <w:r w:rsidRPr="00D107F2">
        <w:rPr>
          <w:color w:val="000000" w:themeColor="text1"/>
          <w:sz w:val="22"/>
        </w:rPr>
        <w:t xml:space="preserve">« former » et </w:t>
      </w:r>
      <w:r w:rsidR="00AF48D0" w:rsidRPr="00D107F2">
        <w:rPr>
          <w:color w:val="000000" w:themeColor="text1"/>
          <w:sz w:val="22"/>
        </w:rPr>
        <w:t xml:space="preserve">de </w:t>
      </w:r>
      <w:r w:rsidRPr="00D107F2">
        <w:rPr>
          <w:color w:val="000000" w:themeColor="text1"/>
          <w:sz w:val="22"/>
        </w:rPr>
        <w:t xml:space="preserve">« valider » un niveau de formation et non pas </w:t>
      </w:r>
      <w:r w:rsidR="00AF48D0" w:rsidRPr="00D107F2">
        <w:rPr>
          <w:color w:val="000000" w:themeColor="text1"/>
          <w:sz w:val="22"/>
        </w:rPr>
        <w:t>d’</w:t>
      </w:r>
      <w:r w:rsidRPr="00D107F2">
        <w:rPr>
          <w:color w:val="000000" w:themeColor="text1"/>
          <w:sz w:val="22"/>
        </w:rPr>
        <w:t>« habiliter ».</w:t>
      </w:r>
    </w:p>
    <w:p w:rsidR="00AF31D1" w:rsidRPr="00D107F2" w:rsidRDefault="00AF31D1" w:rsidP="00AF48D0">
      <w:pPr>
        <w:spacing w:before="120"/>
        <w:jc w:val="both"/>
        <w:rPr>
          <w:color w:val="000000" w:themeColor="text1"/>
          <w:sz w:val="22"/>
        </w:rPr>
      </w:pPr>
      <w:r w:rsidRPr="00D107F2">
        <w:rPr>
          <w:color w:val="000000" w:themeColor="text1"/>
          <w:sz w:val="22"/>
          <w:u w:val="single"/>
        </w:rPr>
        <w:t>Objectif</w:t>
      </w:r>
      <w:r w:rsidR="002D3B52" w:rsidRPr="00D107F2">
        <w:rPr>
          <w:color w:val="000000" w:themeColor="text1"/>
          <w:sz w:val="22"/>
        </w:rPr>
        <w:t xml:space="preserve"> : l</w:t>
      </w:r>
      <w:r w:rsidRPr="00D107F2">
        <w:rPr>
          <w:color w:val="000000" w:themeColor="text1"/>
          <w:sz w:val="22"/>
        </w:rPr>
        <w:t>a formation à l’habilitation devrait être terminée pour la majorité des élèves à la fin de la classe de Première Bac Pro.</w:t>
      </w:r>
    </w:p>
    <w:p w:rsidR="00AF31D1" w:rsidRPr="00D107F2" w:rsidRDefault="00AF31D1" w:rsidP="00F44C1E">
      <w:pPr>
        <w:spacing w:before="120" w:line="240" w:lineRule="auto"/>
        <w:rPr>
          <w:color w:val="000000" w:themeColor="text1"/>
          <w:sz w:val="22"/>
        </w:rPr>
      </w:pPr>
    </w:p>
    <w:p w:rsidR="00AF31D1" w:rsidRPr="00D107F2" w:rsidRDefault="00AF31D1" w:rsidP="00F44C1E">
      <w:pPr>
        <w:spacing w:before="120" w:line="240" w:lineRule="auto"/>
        <w:rPr>
          <w:color w:val="000000" w:themeColor="text1"/>
          <w:sz w:val="22"/>
        </w:rPr>
      </w:pPr>
    </w:p>
    <w:p w:rsidR="001232B5" w:rsidRPr="00D107F2" w:rsidRDefault="001232B5" w:rsidP="001232B5">
      <w:pPr>
        <w:jc w:val="both"/>
        <w:rPr>
          <w:b/>
          <w:color w:val="000000" w:themeColor="text1"/>
          <w:sz w:val="24"/>
          <w:szCs w:val="24"/>
          <w:u w:val="single"/>
        </w:rPr>
      </w:pPr>
      <w:r w:rsidRPr="00D107F2">
        <w:rPr>
          <w:b/>
          <w:color w:val="000000" w:themeColor="text1"/>
          <w:sz w:val="24"/>
          <w:szCs w:val="24"/>
          <w:u w:val="single"/>
        </w:rPr>
        <w:t>Application OGELI</w:t>
      </w:r>
      <w:r w:rsidRPr="00D107F2">
        <w:rPr>
          <w:b/>
          <w:color w:val="000000" w:themeColor="text1"/>
          <w:sz w:val="24"/>
          <w:szCs w:val="24"/>
        </w:rPr>
        <w:t> :</w:t>
      </w:r>
      <w:r w:rsidRPr="00D107F2">
        <w:rPr>
          <w:b/>
          <w:color w:val="000000" w:themeColor="text1"/>
          <w:sz w:val="24"/>
          <w:szCs w:val="24"/>
          <w:u w:val="single"/>
        </w:rPr>
        <w:t xml:space="preserve"> </w:t>
      </w:r>
    </w:p>
    <w:p w:rsidR="001232B5" w:rsidRPr="00D107F2" w:rsidRDefault="001232B5" w:rsidP="001232B5">
      <w:pPr>
        <w:spacing w:before="120"/>
        <w:jc w:val="both"/>
        <w:rPr>
          <w:color w:val="000000" w:themeColor="text1"/>
          <w:sz w:val="22"/>
        </w:rPr>
      </w:pPr>
      <w:r w:rsidRPr="00D107F2">
        <w:rPr>
          <w:color w:val="000000" w:themeColor="text1"/>
          <w:sz w:val="22"/>
        </w:rPr>
        <w:t>Dans le cadre du  partenariat entre l’INRS et l’éducation nationale l’application en ligne « OGELI »</w:t>
      </w:r>
      <w:r w:rsidR="00B83453">
        <w:rPr>
          <w:color w:val="000000" w:themeColor="text1"/>
          <w:sz w:val="22"/>
        </w:rPr>
        <w:t xml:space="preserve"> </w:t>
      </w:r>
      <w:r w:rsidRPr="00D107F2">
        <w:rPr>
          <w:color w:val="000000" w:themeColor="text1"/>
          <w:sz w:val="22"/>
        </w:rPr>
        <w:t>permet à la fois le suivi du parcours de formation de chaque jeune relativement aux différents risques professionnels et la délivrance des attestations de formation. Son usage est fortement recommandé.</w:t>
      </w:r>
    </w:p>
    <w:p w:rsidR="00777710" w:rsidRPr="00D107F2" w:rsidRDefault="00777710" w:rsidP="00777710">
      <w:pPr>
        <w:spacing w:before="120" w:line="240" w:lineRule="auto"/>
        <w:jc w:val="both"/>
        <w:rPr>
          <w:color w:val="000000" w:themeColor="text1"/>
          <w:sz w:val="22"/>
        </w:rPr>
      </w:pPr>
    </w:p>
    <w:p w:rsidR="00AF31D1" w:rsidRPr="00777710" w:rsidRDefault="00AF31D1" w:rsidP="00777710">
      <w:pPr>
        <w:spacing w:before="120" w:line="240" w:lineRule="auto"/>
        <w:jc w:val="both"/>
        <w:rPr>
          <w:sz w:val="22"/>
        </w:rPr>
      </w:pPr>
    </w:p>
    <w:p w:rsidR="00777710" w:rsidRPr="00777710" w:rsidRDefault="00777710" w:rsidP="00777710">
      <w:pPr>
        <w:spacing w:before="120" w:line="240" w:lineRule="auto"/>
        <w:jc w:val="both"/>
        <w:rPr>
          <w:sz w:val="22"/>
        </w:rPr>
      </w:pPr>
      <w:r w:rsidRPr="00777710">
        <w:rPr>
          <w:sz w:val="22"/>
          <w:u w:val="single"/>
        </w:rPr>
        <w:t>Ressources externes</w:t>
      </w:r>
      <w:r w:rsidRPr="00777710">
        <w:rPr>
          <w:sz w:val="22"/>
        </w:rPr>
        <w:t xml:space="preserve"> : </w:t>
      </w:r>
      <w:r w:rsidR="001232B5" w:rsidRPr="00D107F2">
        <w:rPr>
          <w:color w:val="000000" w:themeColor="text1"/>
          <w:sz w:val="18"/>
          <w:szCs w:val="18"/>
        </w:rPr>
        <w:t>(accès direct en pressant la touche « Ctrl » et clic gauche)</w:t>
      </w:r>
    </w:p>
    <w:p w:rsidR="00777710" w:rsidRPr="00777710" w:rsidRDefault="00777710" w:rsidP="00AF31D1">
      <w:pPr>
        <w:pStyle w:val="Paragraphedeliste"/>
        <w:numPr>
          <w:ilvl w:val="0"/>
          <w:numId w:val="9"/>
        </w:numPr>
        <w:spacing w:before="120" w:line="240" w:lineRule="auto"/>
        <w:ind w:left="714" w:hanging="357"/>
        <w:contextualSpacing w:val="0"/>
        <w:jc w:val="both"/>
        <w:rPr>
          <w:sz w:val="22"/>
        </w:rPr>
      </w:pPr>
      <w:r w:rsidRPr="00777710">
        <w:rPr>
          <w:sz w:val="22"/>
        </w:rPr>
        <w:t xml:space="preserve">Lien direct vers le </w:t>
      </w:r>
      <w:hyperlink r:id="rId9" w:history="1">
        <w:r w:rsidRPr="00777710">
          <w:rPr>
            <w:rStyle w:val="Lienhypertexte"/>
            <w:sz w:val="22"/>
          </w:rPr>
          <w:t>Référentiel PRE</w:t>
        </w:r>
      </w:hyperlink>
      <w:r w:rsidRPr="00777710">
        <w:rPr>
          <w:sz w:val="22"/>
        </w:rPr>
        <w:t xml:space="preserve"> (version juin 2013)</w:t>
      </w:r>
    </w:p>
    <w:p w:rsidR="00777710" w:rsidRPr="00AF31D1" w:rsidRDefault="00777710" w:rsidP="00AF31D1">
      <w:pPr>
        <w:pStyle w:val="Paragraphedeliste"/>
        <w:numPr>
          <w:ilvl w:val="0"/>
          <w:numId w:val="9"/>
        </w:numPr>
        <w:spacing w:before="120" w:line="240" w:lineRule="auto"/>
        <w:ind w:left="714" w:hanging="357"/>
        <w:contextualSpacing w:val="0"/>
        <w:jc w:val="both"/>
        <w:rPr>
          <w:sz w:val="22"/>
        </w:rPr>
      </w:pPr>
      <w:r w:rsidRPr="00AF31D1">
        <w:rPr>
          <w:sz w:val="22"/>
        </w:rPr>
        <w:t xml:space="preserve">Lien vers </w:t>
      </w:r>
      <w:hyperlink r:id="rId10" w:history="1">
        <w:proofErr w:type="spellStart"/>
        <w:r w:rsidRPr="00AF31D1">
          <w:rPr>
            <w:rStyle w:val="Lienhypertexte"/>
            <w:sz w:val="22"/>
          </w:rPr>
          <w:t>Eduscol</w:t>
        </w:r>
        <w:proofErr w:type="spellEnd"/>
      </w:hyperlink>
      <w:r w:rsidRPr="00AF31D1">
        <w:rPr>
          <w:sz w:val="22"/>
        </w:rPr>
        <w:t xml:space="preserve"> Référentiel PRE</w:t>
      </w:r>
    </w:p>
    <w:p w:rsidR="00777710" w:rsidRPr="00AF31D1" w:rsidRDefault="00777710" w:rsidP="00AF31D1">
      <w:pPr>
        <w:pStyle w:val="Paragraphedeliste"/>
        <w:numPr>
          <w:ilvl w:val="0"/>
          <w:numId w:val="9"/>
        </w:numPr>
        <w:spacing w:before="120" w:line="240" w:lineRule="auto"/>
        <w:ind w:left="714" w:hanging="357"/>
        <w:contextualSpacing w:val="0"/>
        <w:jc w:val="both"/>
        <w:rPr>
          <w:sz w:val="22"/>
        </w:rPr>
      </w:pPr>
      <w:r w:rsidRPr="00AF31D1">
        <w:rPr>
          <w:sz w:val="22"/>
        </w:rPr>
        <w:t xml:space="preserve">Lien direct vers </w:t>
      </w:r>
      <w:hyperlink r:id="rId11" w:history="1">
        <w:r w:rsidRPr="00AF31D1">
          <w:rPr>
            <w:rStyle w:val="Lienhypertexte"/>
            <w:sz w:val="22"/>
          </w:rPr>
          <w:t>OGELI</w:t>
        </w:r>
      </w:hyperlink>
    </w:p>
    <w:p w:rsidR="00777710" w:rsidRPr="00AF31D1" w:rsidRDefault="00777710" w:rsidP="00AF31D1">
      <w:pPr>
        <w:pStyle w:val="Paragraphedeliste"/>
        <w:numPr>
          <w:ilvl w:val="0"/>
          <w:numId w:val="9"/>
        </w:numPr>
        <w:spacing w:before="120" w:line="240" w:lineRule="auto"/>
        <w:ind w:left="714" w:hanging="357"/>
        <w:contextualSpacing w:val="0"/>
        <w:jc w:val="both"/>
        <w:rPr>
          <w:sz w:val="22"/>
        </w:rPr>
      </w:pPr>
      <w:r w:rsidRPr="00AF31D1">
        <w:rPr>
          <w:sz w:val="22"/>
        </w:rPr>
        <w:t xml:space="preserve">Lien vers </w:t>
      </w:r>
      <w:proofErr w:type="spellStart"/>
      <w:r w:rsidRPr="00AF31D1">
        <w:rPr>
          <w:sz w:val="22"/>
        </w:rPr>
        <w:t>Eduscol</w:t>
      </w:r>
      <w:proofErr w:type="spellEnd"/>
      <w:r w:rsidRPr="00AF31D1">
        <w:rPr>
          <w:sz w:val="22"/>
        </w:rPr>
        <w:t xml:space="preserve"> relatif à </w:t>
      </w:r>
      <w:hyperlink r:id="rId12" w:history="1">
        <w:r w:rsidRPr="00AF31D1">
          <w:rPr>
            <w:rStyle w:val="Lienhypertexte"/>
            <w:sz w:val="22"/>
          </w:rPr>
          <w:t>OGELI</w:t>
        </w:r>
      </w:hyperlink>
    </w:p>
    <w:p w:rsidR="005603AF" w:rsidRPr="00AF31D1" w:rsidRDefault="00777710" w:rsidP="00AF31D1">
      <w:pPr>
        <w:pStyle w:val="Paragraphedeliste"/>
        <w:numPr>
          <w:ilvl w:val="0"/>
          <w:numId w:val="9"/>
        </w:numPr>
        <w:spacing w:before="120" w:line="240" w:lineRule="auto"/>
        <w:ind w:left="714" w:hanging="357"/>
        <w:contextualSpacing w:val="0"/>
        <w:jc w:val="both"/>
        <w:rPr>
          <w:sz w:val="22"/>
        </w:rPr>
      </w:pPr>
      <w:r w:rsidRPr="00AF31D1">
        <w:rPr>
          <w:sz w:val="22"/>
        </w:rPr>
        <w:t>Liens vers le site de l’</w:t>
      </w:r>
      <w:hyperlink r:id="rId13" w:history="1">
        <w:r w:rsidRPr="00AF31D1">
          <w:rPr>
            <w:rStyle w:val="Lienhypertexte"/>
            <w:sz w:val="22"/>
          </w:rPr>
          <w:t>INRS</w:t>
        </w:r>
      </w:hyperlink>
    </w:p>
    <w:sectPr w:rsidR="005603AF" w:rsidRPr="00AF31D1" w:rsidSect="0015517A">
      <w:headerReference w:type="default" r:id="rId14"/>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38" w:rsidRDefault="00C57638" w:rsidP="0015517A">
      <w:pPr>
        <w:spacing w:line="240" w:lineRule="auto"/>
      </w:pPr>
      <w:r>
        <w:separator/>
      </w:r>
    </w:p>
  </w:endnote>
  <w:endnote w:type="continuationSeparator" w:id="0">
    <w:p w:rsidR="00C57638" w:rsidRDefault="00C57638"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38" w:rsidRDefault="00C57638" w:rsidP="0015517A">
      <w:pPr>
        <w:spacing w:line="240" w:lineRule="auto"/>
      </w:pPr>
      <w:r>
        <w:separator/>
      </w:r>
    </w:p>
  </w:footnote>
  <w:footnote w:type="continuationSeparator" w:id="0">
    <w:p w:rsidR="00C57638" w:rsidRDefault="00C57638"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06" w:rsidRDefault="003942F9" w:rsidP="008B5D06">
    <w:pPr>
      <w:pStyle w:val="En-tte"/>
      <w:tabs>
        <w:tab w:val="left" w:pos="708"/>
      </w:tabs>
      <w:ind w:left="1134" w:right="1132"/>
      <w:jc w:val="center"/>
      <w:rPr>
        <w:rFonts w:cs="Arial"/>
        <w:b/>
        <w:bCs/>
        <w:color w:val="000000"/>
        <w:kern w:val="24"/>
        <w:sz w:val="22"/>
      </w:rPr>
    </w:pPr>
    <w:r w:rsidRPr="003942F9">
      <w:rPr>
        <w:rFonts w:ascii="Arial Narrow" w:hAnsi="Arial Narrow" w:cs="Arial"/>
        <w:b/>
        <w:bCs/>
        <w:noProof/>
        <w:color w:val="000000"/>
        <w:kern w:val="24"/>
        <w:sz w:val="24"/>
        <w:szCs w:val="24"/>
        <w:lang w:eastAsia="fr-FR"/>
      </w:rPr>
      <w:drawing>
        <wp:anchor distT="0" distB="0" distL="114300" distR="114300" simplePos="0" relativeHeight="251658240" behindDoc="0" locked="0" layoutInCell="1" allowOverlap="1" wp14:anchorId="2E4B7C03" wp14:editId="20E152A3">
          <wp:simplePos x="0" y="0"/>
          <wp:positionH relativeFrom="column">
            <wp:posOffset>5918200</wp:posOffset>
          </wp:positionH>
          <wp:positionV relativeFrom="paragraph">
            <wp:posOffset>-113665</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D06">
      <w:rPr>
        <w:noProof/>
        <w:lang w:eastAsia="fr-FR"/>
      </w:rPr>
      <w:drawing>
        <wp:anchor distT="0" distB="0" distL="114300" distR="114300" simplePos="0" relativeHeight="251657216" behindDoc="0" locked="0" layoutInCell="1" allowOverlap="1" wp14:anchorId="7F2BFEFE" wp14:editId="55E256ED">
          <wp:simplePos x="0" y="0"/>
          <wp:positionH relativeFrom="column">
            <wp:posOffset>-150495</wp:posOffset>
          </wp:positionH>
          <wp:positionV relativeFrom="paragraph">
            <wp:posOffset>-62230</wp:posOffset>
          </wp:positionV>
          <wp:extent cx="665480" cy="7620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762000"/>
                  </a:xfrm>
                  <a:prstGeom prst="rect">
                    <a:avLst/>
                  </a:prstGeom>
                  <a:noFill/>
                </pic:spPr>
              </pic:pic>
            </a:graphicData>
          </a:graphic>
          <wp14:sizeRelH relativeFrom="margin">
            <wp14:pctWidth>0</wp14:pctWidth>
          </wp14:sizeRelH>
          <wp14:sizeRelV relativeFrom="margin">
            <wp14:pctHeight>0</wp14:pctHeight>
          </wp14:sizeRelV>
        </wp:anchor>
      </w:drawing>
    </w:r>
    <w:r w:rsidR="008B5D06">
      <w:rPr>
        <w:rFonts w:ascii="Arial Narrow" w:hAnsi="Arial Narrow" w:cs="Arial"/>
        <w:b/>
        <w:bCs/>
        <w:color w:val="000000"/>
        <w:sz w:val="28"/>
        <w:szCs w:val="24"/>
        <w:u w:val="single"/>
      </w:rPr>
      <w:t>BAC PRO métiers de l’électricité et de ses environnements connectés</w:t>
    </w:r>
  </w:p>
  <w:p w:rsidR="008B5D06" w:rsidRDefault="008B5D06" w:rsidP="008B5D06">
    <w:pPr>
      <w:pStyle w:val="En-tte"/>
      <w:tabs>
        <w:tab w:val="left" w:pos="708"/>
      </w:tabs>
      <w:ind w:left="1134" w:right="1132"/>
      <w:jc w:val="center"/>
      <w:rPr>
        <w:rFonts w:ascii="Arial Narrow" w:hAnsi="Arial Narrow" w:cs="Arial"/>
        <w:b/>
        <w:bCs/>
        <w:color w:val="000000"/>
        <w:kern w:val="24"/>
        <w:sz w:val="10"/>
        <w:szCs w:val="24"/>
      </w:rPr>
    </w:pPr>
  </w:p>
  <w:p w:rsidR="008B5D06" w:rsidRDefault="008B5D06" w:rsidP="008B5D06">
    <w:pPr>
      <w:pStyle w:val="En-tte"/>
      <w:tabs>
        <w:tab w:val="left" w:pos="708"/>
      </w:tabs>
      <w:ind w:left="1134" w:right="1132"/>
      <w:jc w:val="center"/>
      <w:rPr>
        <w:rFonts w:ascii="Arial Narrow" w:hAnsi="Arial Narrow" w:cs="Arial"/>
        <w:b/>
        <w:bCs/>
        <w:color w:val="000000"/>
        <w:kern w:val="24"/>
        <w:sz w:val="28"/>
        <w:szCs w:val="24"/>
      </w:rPr>
    </w:pPr>
    <w:r>
      <w:rPr>
        <w:rFonts w:ascii="Arial Narrow" w:hAnsi="Arial Narrow" w:cs="Arial"/>
        <w:b/>
        <w:bCs/>
        <w:color w:val="000000"/>
        <w:kern w:val="24"/>
        <w:sz w:val="24"/>
        <w:szCs w:val="24"/>
      </w:rPr>
      <w:t>Repère pour la formation</w:t>
    </w:r>
  </w:p>
  <w:p w:rsidR="008B5D06" w:rsidRDefault="008B5D06" w:rsidP="008B5D06">
    <w:pPr>
      <w:pStyle w:val="En-tte"/>
      <w:tabs>
        <w:tab w:val="left" w:pos="708"/>
      </w:tabs>
      <w:ind w:left="1134" w:right="1132"/>
      <w:jc w:val="center"/>
      <w:rPr>
        <w:rFonts w:ascii="Arial Narrow" w:hAnsi="Arial Narrow"/>
        <w:sz w:val="10"/>
        <w:szCs w:val="24"/>
      </w:rPr>
    </w:pPr>
  </w:p>
  <w:p w:rsidR="008B5D06" w:rsidRDefault="008B5D06" w:rsidP="008B5D06">
    <w:pPr>
      <w:pStyle w:val="En-tte"/>
      <w:tabs>
        <w:tab w:val="clear" w:pos="4536"/>
        <w:tab w:val="clear" w:pos="9072"/>
        <w:tab w:val="left" w:pos="708"/>
        <w:tab w:val="right" w:pos="8789"/>
      </w:tabs>
      <w:ind w:left="1134" w:right="1132"/>
      <w:rPr>
        <w:rFonts w:ascii="Arial Narrow" w:hAnsi="Arial Narrow"/>
        <w:b/>
        <w:i/>
        <w:sz w:val="16"/>
      </w:rPr>
    </w:pPr>
    <w:r>
      <w:rPr>
        <w:rFonts w:ascii="Arial Narrow" w:hAnsi="Arial Narrow"/>
        <w:i/>
        <w:sz w:val="16"/>
      </w:rPr>
      <w:t xml:space="preserve">       Version du </w:t>
    </w:r>
    <w:r w:rsidR="00902E8F">
      <w:rPr>
        <w:rFonts w:ascii="Arial Narrow" w:hAnsi="Arial Narrow"/>
        <w:i/>
        <w:sz w:val="16"/>
      </w:rPr>
      <w:t>2</w:t>
    </w:r>
    <w:r w:rsidR="00D331FC">
      <w:rPr>
        <w:rFonts w:ascii="Arial Narrow" w:hAnsi="Arial Narrow"/>
        <w:i/>
        <w:sz w:val="16"/>
      </w:rPr>
      <w:t>8</w:t>
    </w:r>
    <w:r>
      <w:rPr>
        <w:rFonts w:ascii="Arial Narrow" w:hAnsi="Arial Narrow"/>
        <w:i/>
        <w:sz w:val="16"/>
      </w:rPr>
      <w:t xml:space="preserve"> avril 2016 </w:t>
    </w:r>
    <w:r>
      <w:rPr>
        <w:rFonts w:ascii="Arial Narrow" w:hAnsi="Arial Narrow"/>
        <w:i/>
        <w:sz w:val="16"/>
      </w:rPr>
      <w:tab/>
      <w:t xml:space="preserve">Page </w:t>
    </w:r>
    <w:r>
      <w:rPr>
        <w:rFonts w:ascii="Arial Narrow" w:hAnsi="Arial Narrow"/>
        <w:b/>
        <w:i/>
        <w:sz w:val="16"/>
      </w:rPr>
      <w:fldChar w:fldCharType="begin"/>
    </w:r>
    <w:r>
      <w:rPr>
        <w:rFonts w:ascii="Arial Narrow" w:hAnsi="Arial Narrow"/>
        <w:b/>
        <w:i/>
        <w:sz w:val="16"/>
      </w:rPr>
      <w:instrText>PAGE  \* Arabic  \* MERGEFORMAT</w:instrText>
    </w:r>
    <w:r>
      <w:rPr>
        <w:rFonts w:ascii="Arial Narrow" w:hAnsi="Arial Narrow"/>
        <w:b/>
        <w:i/>
        <w:sz w:val="16"/>
      </w:rPr>
      <w:fldChar w:fldCharType="separate"/>
    </w:r>
    <w:r w:rsidR="00D331FC">
      <w:rPr>
        <w:rFonts w:ascii="Arial Narrow" w:hAnsi="Arial Narrow"/>
        <w:b/>
        <w:i/>
        <w:noProof/>
        <w:sz w:val="16"/>
      </w:rPr>
      <w:t>1</w:t>
    </w:r>
    <w:r>
      <w:rPr>
        <w:rFonts w:ascii="Arial Narrow" w:hAnsi="Arial Narrow"/>
        <w:b/>
        <w:i/>
        <w:sz w:val="16"/>
      </w:rPr>
      <w:fldChar w:fldCharType="end"/>
    </w:r>
    <w:r>
      <w:rPr>
        <w:rFonts w:ascii="Arial Narrow" w:hAnsi="Arial Narrow"/>
        <w:i/>
        <w:sz w:val="16"/>
      </w:rPr>
      <w:t>/</w:t>
    </w:r>
    <w:r>
      <w:rPr>
        <w:rFonts w:ascii="Arial Narrow" w:hAnsi="Arial Narrow"/>
        <w:b/>
        <w:i/>
        <w:sz w:val="16"/>
      </w:rPr>
      <w:fldChar w:fldCharType="begin"/>
    </w:r>
    <w:r>
      <w:rPr>
        <w:rFonts w:ascii="Arial Narrow" w:hAnsi="Arial Narrow"/>
        <w:b/>
        <w:i/>
        <w:sz w:val="16"/>
      </w:rPr>
      <w:instrText>NUMPAGES  \* Arabic  \* MERGEFORMAT</w:instrText>
    </w:r>
    <w:r>
      <w:rPr>
        <w:rFonts w:ascii="Arial Narrow" w:hAnsi="Arial Narrow"/>
        <w:b/>
        <w:i/>
        <w:sz w:val="16"/>
      </w:rPr>
      <w:fldChar w:fldCharType="separate"/>
    </w:r>
    <w:r w:rsidR="00D331FC">
      <w:rPr>
        <w:rFonts w:ascii="Arial Narrow" w:hAnsi="Arial Narrow"/>
        <w:b/>
        <w:i/>
        <w:noProof/>
        <w:sz w:val="16"/>
      </w:rPr>
      <w:t>2</w:t>
    </w:r>
    <w:r>
      <w:rPr>
        <w:rFonts w:ascii="Arial Narrow" w:hAnsi="Arial Narrow"/>
        <w:b/>
        <w:i/>
        <w:sz w:val="16"/>
      </w:rPr>
      <w:fldChar w:fldCharType="end"/>
    </w:r>
  </w:p>
  <w:p w:rsidR="008B5D06" w:rsidRDefault="008B5D06" w:rsidP="008B5D06">
    <w:pPr>
      <w:pStyle w:val="En-tte"/>
      <w:pBdr>
        <w:bottom w:val="single" w:sz="18" w:space="1" w:color="33CC33"/>
      </w:pBdr>
      <w:tabs>
        <w:tab w:val="left" w:pos="708"/>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411"/>
    <w:multiLevelType w:val="hybridMultilevel"/>
    <w:tmpl w:val="5E8C8E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63E75CD"/>
    <w:multiLevelType w:val="hybridMultilevel"/>
    <w:tmpl w:val="6D560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7016CCA"/>
    <w:multiLevelType w:val="hybridMultilevel"/>
    <w:tmpl w:val="851AB0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AA76B2E"/>
    <w:multiLevelType w:val="hybridMultilevel"/>
    <w:tmpl w:val="38FC8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A32900"/>
    <w:multiLevelType w:val="hybridMultilevel"/>
    <w:tmpl w:val="59AEE3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CE32D2"/>
    <w:multiLevelType w:val="hybridMultilevel"/>
    <w:tmpl w:val="DD6E4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8">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2"/>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571BD"/>
    <w:rsid w:val="001232B5"/>
    <w:rsid w:val="0015517A"/>
    <w:rsid w:val="0016425D"/>
    <w:rsid w:val="00196D8B"/>
    <w:rsid w:val="00247DB2"/>
    <w:rsid w:val="00250974"/>
    <w:rsid w:val="00271232"/>
    <w:rsid w:val="002746CA"/>
    <w:rsid w:val="002C2609"/>
    <w:rsid w:val="002D3B52"/>
    <w:rsid w:val="00306517"/>
    <w:rsid w:val="00335122"/>
    <w:rsid w:val="003664DE"/>
    <w:rsid w:val="003942F9"/>
    <w:rsid w:val="004339DC"/>
    <w:rsid w:val="004E110F"/>
    <w:rsid w:val="004E5411"/>
    <w:rsid w:val="00547B8A"/>
    <w:rsid w:val="005603AF"/>
    <w:rsid w:val="005921D6"/>
    <w:rsid w:val="005B59D8"/>
    <w:rsid w:val="00647D2C"/>
    <w:rsid w:val="006738F7"/>
    <w:rsid w:val="00683AEF"/>
    <w:rsid w:val="00695C3E"/>
    <w:rsid w:val="00730FE0"/>
    <w:rsid w:val="00734B59"/>
    <w:rsid w:val="00746D8A"/>
    <w:rsid w:val="00777710"/>
    <w:rsid w:val="007A19A7"/>
    <w:rsid w:val="007C4502"/>
    <w:rsid w:val="008A0706"/>
    <w:rsid w:val="008B5D06"/>
    <w:rsid w:val="00902E8F"/>
    <w:rsid w:val="00A30E7A"/>
    <w:rsid w:val="00A810B9"/>
    <w:rsid w:val="00A96EFB"/>
    <w:rsid w:val="00AF31D1"/>
    <w:rsid w:val="00AF48D0"/>
    <w:rsid w:val="00B41503"/>
    <w:rsid w:val="00B55C5F"/>
    <w:rsid w:val="00B65D15"/>
    <w:rsid w:val="00B83453"/>
    <w:rsid w:val="00BB193A"/>
    <w:rsid w:val="00BC2DB7"/>
    <w:rsid w:val="00BF47E9"/>
    <w:rsid w:val="00C066F6"/>
    <w:rsid w:val="00C331F0"/>
    <w:rsid w:val="00C45876"/>
    <w:rsid w:val="00C57638"/>
    <w:rsid w:val="00C60F5B"/>
    <w:rsid w:val="00D107F2"/>
    <w:rsid w:val="00D1296E"/>
    <w:rsid w:val="00D331FC"/>
    <w:rsid w:val="00D5594F"/>
    <w:rsid w:val="00D61179"/>
    <w:rsid w:val="00D93B79"/>
    <w:rsid w:val="00DB7728"/>
    <w:rsid w:val="00DF39B6"/>
    <w:rsid w:val="00E0086F"/>
    <w:rsid w:val="00E12B70"/>
    <w:rsid w:val="00E15A80"/>
    <w:rsid w:val="00E24A97"/>
    <w:rsid w:val="00E32555"/>
    <w:rsid w:val="00E4624A"/>
    <w:rsid w:val="00F44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4225">
      <w:bodyDiv w:val="1"/>
      <w:marLeft w:val="0"/>
      <w:marRight w:val="0"/>
      <w:marTop w:val="0"/>
      <w:marBottom w:val="0"/>
      <w:divBdr>
        <w:top w:val="none" w:sz="0" w:space="0" w:color="auto"/>
        <w:left w:val="none" w:sz="0" w:space="0" w:color="auto"/>
        <w:bottom w:val="none" w:sz="0" w:space="0" w:color="auto"/>
        <w:right w:val="none" w:sz="0" w:space="0" w:color="auto"/>
      </w:divBdr>
    </w:div>
    <w:div w:id="606884619">
      <w:bodyDiv w:val="1"/>
      <w:marLeft w:val="0"/>
      <w:marRight w:val="0"/>
      <w:marTop w:val="0"/>
      <w:marBottom w:val="0"/>
      <w:divBdr>
        <w:top w:val="none" w:sz="0" w:space="0" w:color="auto"/>
        <w:left w:val="none" w:sz="0" w:space="0" w:color="auto"/>
        <w:bottom w:val="none" w:sz="0" w:space="0" w:color="auto"/>
        <w:right w:val="none" w:sz="0" w:space="0" w:color="auto"/>
      </w:divBdr>
    </w:div>
    <w:div w:id="1157645232">
      <w:bodyDiv w:val="1"/>
      <w:marLeft w:val="0"/>
      <w:marRight w:val="0"/>
      <w:marTop w:val="0"/>
      <w:marBottom w:val="0"/>
      <w:divBdr>
        <w:top w:val="none" w:sz="0" w:space="0" w:color="auto"/>
        <w:left w:val="none" w:sz="0" w:space="0" w:color="auto"/>
        <w:bottom w:val="none" w:sz="0" w:space="0" w:color="auto"/>
        <w:right w:val="none" w:sz="0" w:space="0" w:color="auto"/>
      </w:divBdr>
    </w:div>
    <w:div w:id="1957786923">
      <w:bodyDiv w:val="1"/>
      <w:marLeft w:val="0"/>
      <w:marRight w:val="0"/>
      <w:marTop w:val="0"/>
      <w:marBottom w:val="0"/>
      <w:divBdr>
        <w:top w:val="none" w:sz="0" w:space="0" w:color="auto"/>
        <w:left w:val="none" w:sz="0" w:space="0" w:color="auto"/>
        <w:bottom w:val="none" w:sz="0" w:space="0" w:color="auto"/>
        <w:right w:val="none" w:sz="0" w:space="0" w:color="auto"/>
      </w:divBdr>
    </w:div>
    <w:div w:id="20119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rs.fr/risques/electriques/ce-qu-il-faut-reteni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scol.education.fr/sti/ressources_techniques/ogeli-outil-de-gestion-des-formations-sante-et-securite-au-trava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st-inrs.fr/ges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duscol.education.fr/sti/ressources_techniques/habilitation-electrique-referentiel-de-formation" TargetMode="External"/><Relationship Id="rId4" Type="http://schemas.microsoft.com/office/2007/relationships/stylesWithEffects" Target="stylesWithEffects.xml"/><Relationship Id="rId9" Type="http://schemas.openxmlformats.org/officeDocument/2006/relationships/hyperlink" Target="http://eduscol.education.fr/sti/sites/eduscol.education.fr.sti/files/textes/245-referentiel-de-formation-la-prevention-des-risques-electriques-juin-20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80BB-901E-4D51-A496-F652AC5B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4</cp:revision>
  <dcterms:created xsi:type="dcterms:W3CDTF">2016-04-27T13:26:00Z</dcterms:created>
  <dcterms:modified xsi:type="dcterms:W3CDTF">2016-04-28T19:08:00Z</dcterms:modified>
</cp:coreProperties>
</file>