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73" w:rsidRDefault="00D16C73" w:rsidP="00485EB0">
      <w:pPr>
        <w:spacing w:before="120" w:after="0" w:line="240" w:lineRule="auto"/>
        <w:jc w:val="center"/>
        <w:rPr>
          <w:rFonts w:ascii="Arial" w:hAnsi="Arial" w:cs="Arial"/>
          <w:b/>
          <w:sz w:val="28"/>
          <w:szCs w:val="24"/>
        </w:rPr>
      </w:pPr>
      <w:bookmarkStart w:id="0" w:name="_GoBack"/>
      <w:bookmarkEnd w:id="0"/>
      <w:r w:rsidRPr="00485EB0">
        <w:rPr>
          <w:rFonts w:ascii="Arial" w:hAnsi="Arial" w:cs="Arial"/>
          <w:b/>
          <w:sz w:val="28"/>
          <w:szCs w:val="24"/>
          <w:highlight w:val="green"/>
        </w:rPr>
        <w:t>Les bilans intermédiaires de compétences</w:t>
      </w:r>
    </w:p>
    <w:p w:rsidR="00485EB0" w:rsidRPr="00485EB0" w:rsidRDefault="00485EB0" w:rsidP="00485EB0">
      <w:pPr>
        <w:spacing w:before="120" w:after="0" w:line="240" w:lineRule="auto"/>
        <w:rPr>
          <w:rFonts w:ascii="Arial" w:hAnsi="Arial" w:cs="Arial"/>
          <w:b/>
          <w:sz w:val="28"/>
          <w:szCs w:val="24"/>
        </w:rPr>
      </w:pPr>
    </w:p>
    <w:p w:rsidR="00D16C73" w:rsidRPr="00B41A4A" w:rsidRDefault="00D16C73" w:rsidP="00D16C73">
      <w:pPr>
        <w:jc w:val="both"/>
        <w:rPr>
          <w:rFonts w:ascii="Arial" w:hAnsi="Arial" w:cs="Arial"/>
          <w:sz w:val="24"/>
          <w:szCs w:val="24"/>
        </w:rPr>
      </w:pPr>
      <w:r w:rsidRPr="00B41A4A">
        <w:rPr>
          <w:rFonts w:ascii="Arial" w:hAnsi="Arial" w:cs="Arial"/>
          <w:sz w:val="24"/>
          <w:szCs w:val="24"/>
        </w:rPr>
        <w:t xml:space="preserve">Conformément à la définition des épreuves, des bilans intermédiaires de compétences sont formalisés avec chaque apprenant deux fois par an (exemple : à la fin de chaque semestre). À partir de l’observation des niveaux de réussite sur chaque critère d’évaluation des compétences, le formateur, seul ou en équipe, positionne le niveau d’acquisition de l’apprenant sur chaque compétence. </w:t>
      </w:r>
    </w:p>
    <w:p w:rsidR="00D16C73" w:rsidRPr="00B41A4A" w:rsidRDefault="00D16C73" w:rsidP="00D16C73">
      <w:pPr>
        <w:spacing w:after="0"/>
        <w:jc w:val="both"/>
        <w:rPr>
          <w:rFonts w:ascii="Arial" w:hAnsi="Arial" w:cs="Arial"/>
          <w:sz w:val="24"/>
          <w:szCs w:val="24"/>
        </w:rPr>
      </w:pPr>
      <w:r w:rsidRPr="00D16C73">
        <w:rPr>
          <w:rFonts w:ascii="Arial" w:hAnsi="Arial" w:cs="Arial"/>
          <w:sz w:val="24"/>
          <w:szCs w:val="24"/>
          <w:u w:val="single"/>
        </w:rPr>
        <w:t>Rappel</w:t>
      </w:r>
      <w:r w:rsidRPr="00B41A4A">
        <w:rPr>
          <w:rFonts w:ascii="Arial" w:hAnsi="Arial" w:cs="Arial"/>
          <w:sz w:val="24"/>
          <w:szCs w:val="24"/>
        </w:rPr>
        <w:t> : on pourra distinguer 4 niveaux :</w:t>
      </w:r>
    </w:p>
    <w:p w:rsidR="00D16C73" w:rsidRPr="00B41A4A" w:rsidRDefault="00D16C73" w:rsidP="00D16C73">
      <w:pPr>
        <w:pStyle w:val="Paragraphedeliste"/>
        <w:numPr>
          <w:ilvl w:val="0"/>
          <w:numId w:val="1"/>
        </w:numPr>
        <w:spacing w:before="120" w:after="200" w:line="276" w:lineRule="auto"/>
        <w:ind w:left="714" w:hanging="357"/>
        <w:jc w:val="both"/>
        <w:rPr>
          <w:rFonts w:ascii="Arial" w:hAnsi="Arial" w:cs="Arial"/>
          <w:sz w:val="24"/>
          <w:szCs w:val="24"/>
        </w:rPr>
      </w:pPr>
      <w:r w:rsidRPr="00B41A4A">
        <w:rPr>
          <w:rFonts w:ascii="Arial" w:hAnsi="Arial" w:cs="Arial"/>
          <w:sz w:val="24"/>
          <w:szCs w:val="24"/>
        </w:rPr>
        <w:t xml:space="preserve">compétence totalement acquise et transférable </w:t>
      </w:r>
    </w:p>
    <w:p w:rsidR="00D16C73" w:rsidRPr="00B41A4A" w:rsidRDefault="00D16C73" w:rsidP="00D16C73">
      <w:pPr>
        <w:pStyle w:val="Paragraphedeliste"/>
        <w:numPr>
          <w:ilvl w:val="0"/>
          <w:numId w:val="1"/>
        </w:numPr>
        <w:spacing w:after="200" w:line="276" w:lineRule="auto"/>
        <w:jc w:val="both"/>
        <w:rPr>
          <w:rFonts w:ascii="Arial" w:hAnsi="Arial" w:cs="Arial"/>
          <w:sz w:val="24"/>
          <w:szCs w:val="24"/>
        </w:rPr>
      </w:pPr>
      <w:r w:rsidRPr="00B41A4A">
        <w:rPr>
          <w:rFonts w:ascii="Arial" w:hAnsi="Arial" w:cs="Arial"/>
          <w:sz w:val="24"/>
          <w:szCs w:val="24"/>
        </w:rPr>
        <w:t>compétence partiellement acquise</w:t>
      </w:r>
    </w:p>
    <w:p w:rsidR="00D16C73" w:rsidRPr="00B41A4A" w:rsidRDefault="00D16C73" w:rsidP="00D16C73">
      <w:pPr>
        <w:pStyle w:val="Paragraphedeliste"/>
        <w:numPr>
          <w:ilvl w:val="0"/>
          <w:numId w:val="1"/>
        </w:numPr>
        <w:spacing w:after="200" w:line="276" w:lineRule="auto"/>
        <w:jc w:val="both"/>
        <w:rPr>
          <w:rFonts w:ascii="Arial" w:hAnsi="Arial" w:cs="Arial"/>
          <w:sz w:val="24"/>
          <w:szCs w:val="24"/>
        </w:rPr>
      </w:pPr>
      <w:r w:rsidRPr="00B41A4A">
        <w:rPr>
          <w:rFonts w:ascii="Arial" w:hAnsi="Arial" w:cs="Arial"/>
          <w:sz w:val="24"/>
          <w:szCs w:val="24"/>
        </w:rPr>
        <w:t>compétence en cours d’acquisition, non stabilisée</w:t>
      </w:r>
    </w:p>
    <w:p w:rsidR="00D16C73" w:rsidRPr="00B41A4A" w:rsidRDefault="00D16C73" w:rsidP="00D16C73">
      <w:pPr>
        <w:pStyle w:val="Paragraphedeliste"/>
        <w:numPr>
          <w:ilvl w:val="0"/>
          <w:numId w:val="1"/>
        </w:numPr>
        <w:spacing w:after="200" w:line="276" w:lineRule="auto"/>
        <w:jc w:val="both"/>
        <w:rPr>
          <w:rFonts w:ascii="Arial" w:hAnsi="Arial" w:cs="Arial"/>
          <w:sz w:val="24"/>
          <w:szCs w:val="24"/>
        </w:rPr>
      </w:pPr>
      <w:r w:rsidRPr="00B41A4A">
        <w:rPr>
          <w:rFonts w:ascii="Arial" w:hAnsi="Arial" w:cs="Arial"/>
          <w:sz w:val="24"/>
          <w:szCs w:val="24"/>
        </w:rPr>
        <w:t>compétence non acquise</w:t>
      </w:r>
    </w:p>
    <w:p w:rsidR="00D16C73" w:rsidRPr="00B41A4A" w:rsidRDefault="00D16C73" w:rsidP="00D16C73">
      <w:pPr>
        <w:jc w:val="both"/>
        <w:rPr>
          <w:rFonts w:ascii="Arial" w:hAnsi="Arial" w:cs="Arial"/>
          <w:sz w:val="24"/>
          <w:szCs w:val="24"/>
        </w:rPr>
      </w:pPr>
      <w:r w:rsidRPr="00B41A4A">
        <w:rPr>
          <w:rFonts w:ascii="Arial" w:hAnsi="Arial" w:cs="Arial"/>
          <w:sz w:val="24"/>
          <w:szCs w:val="24"/>
        </w:rPr>
        <w:t xml:space="preserve">Ces bilans sont formalisés (traces écrites et/ou numériques) et communiqués à l’apprenant. Cinq bilans intermédiaires sont donc produits pendant un parcours sur </w:t>
      </w:r>
      <w:r>
        <w:rPr>
          <w:rFonts w:ascii="Arial" w:hAnsi="Arial" w:cs="Arial"/>
          <w:sz w:val="24"/>
          <w:szCs w:val="24"/>
        </w:rPr>
        <w:t>trois</w:t>
      </w:r>
      <w:r w:rsidRPr="00B41A4A">
        <w:rPr>
          <w:rFonts w:ascii="Arial" w:hAnsi="Arial" w:cs="Arial"/>
          <w:sz w:val="24"/>
          <w:szCs w:val="24"/>
        </w:rPr>
        <w:t xml:space="preserve"> ans. Ils donnent lieu à des </w:t>
      </w:r>
      <w:r w:rsidRPr="00B41A4A">
        <w:rPr>
          <w:rFonts w:ascii="Arial" w:hAnsi="Arial" w:cs="Arial"/>
          <w:b/>
          <w:sz w:val="24"/>
          <w:szCs w:val="24"/>
        </w:rPr>
        <w:t xml:space="preserve">préconisations </w:t>
      </w:r>
      <w:r w:rsidRPr="00B41A4A">
        <w:rPr>
          <w:rFonts w:ascii="Arial" w:hAnsi="Arial" w:cs="Arial"/>
          <w:sz w:val="24"/>
          <w:szCs w:val="24"/>
        </w:rPr>
        <w:t xml:space="preserve">et des </w:t>
      </w:r>
      <w:r w:rsidRPr="00B41A4A">
        <w:rPr>
          <w:rFonts w:ascii="Arial" w:hAnsi="Arial" w:cs="Arial"/>
          <w:b/>
          <w:sz w:val="24"/>
          <w:szCs w:val="24"/>
        </w:rPr>
        <w:t>conseils</w:t>
      </w:r>
      <w:r w:rsidRPr="00B41A4A">
        <w:rPr>
          <w:rFonts w:ascii="Arial" w:hAnsi="Arial" w:cs="Arial"/>
          <w:sz w:val="24"/>
          <w:szCs w:val="24"/>
        </w:rPr>
        <w:t xml:space="preserve"> </w:t>
      </w:r>
      <w:r>
        <w:rPr>
          <w:rFonts w:ascii="Arial" w:hAnsi="Arial" w:cs="Arial"/>
          <w:sz w:val="24"/>
          <w:szCs w:val="24"/>
        </w:rPr>
        <w:t xml:space="preserve">formalisés par </w:t>
      </w:r>
      <w:r w:rsidRPr="00B41A4A">
        <w:rPr>
          <w:rFonts w:ascii="Arial" w:hAnsi="Arial" w:cs="Arial"/>
          <w:sz w:val="24"/>
          <w:szCs w:val="24"/>
        </w:rPr>
        <w:t>écrit</w:t>
      </w:r>
      <w:r>
        <w:rPr>
          <w:rFonts w:ascii="Arial" w:hAnsi="Arial" w:cs="Arial"/>
          <w:sz w:val="24"/>
          <w:szCs w:val="24"/>
        </w:rPr>
        <w:t>,</w:t>
      </w:r>
      <w:r w:rsidRPr="00B41A4A">
        <w:rPr>
          <w:rFonts w:ascii="Arial" w:hAnsi="Arial" w:cs="Arial"/>
          <w:sz w:val="24"/>
          <w:szCs w:val="24"/>
        </w:rPr>
        <w:t xml:space="preserve"> sur la suite du parcours de formation. </w:t>
      </w:r>
    </w:p>
    <w:p w:rsidR="00D16C73" w:rsidRPr="00B41A4A" w:rsidRDefault="00D16C73" w:rsidP="00D16C73">
      <w:pPr>
        <w:jc w:val="both"/>
        <w:rPr>
          <w:rFonts w:ascii="Arial" w:hAnsi="Arial" w:cs="Arial"/>
          <w:sz w:val="24"/>
          <w:szCs w:val="24"/>
        </w:rPr>
      </w:pPr>
      <w:r w:rsidRPr="00B41A4A">
        <w:rPr>
          <w:rFonts w:ascii="Arial" w:hAnsi="Arial" w:cs="Arial"/>
          <w:sz w:val="24"/>
          <w:szCs w:val="24"/>
        </w:rPr>
        <w:t>Ils peuvent aussi servir de points d’appui et d’outil de diagnostic pour construire le parcours d’</w:t>
      </w:r>
      <w:r w:rsidRPr="00B41A4A">
        <w:rPr>
          <w:rFonts w:ascii="Arial" w:hAnsi="Arial" w:cs="Arial"/>
          <w:b/>
          <w:sz w:val="24"/>
          <w:szCs w:val="24"/>
        </w:rPr>
        <w:t xml:space="preserve">accompagnement personnalisé </w:t>
      </w:r>
      <w:r w:rsidRPr="00B41A4A">
        <w:rPr>
          <w:rFonts w:ascii="Arial" w:hAnsi="Arial" w:cs="Arial"/>
          <w:sz w:val="24"/>
          <w:szCs w:val="24"/>
        </w:rPr>
        <w:t xml:space="preserve">de l’apprenant. </w:t>
      </w:r>
      <w:r>
        <w:rPr>
          <w:rFonts w:ascii="Arial" w:hAnsi="Arial" w:cs="Arial"/>
          <w:sz w:val="24"/>
          <w:szCs w:val="24"/>
        </w:rPr>
        <w:t>En outre, ils peuvent être exploités lors des conseils de classe, joints aux bulletins et nourrir les relations avec les parents. Enfin, ils peuvent contribuer à la définition d’objectifs à atteindre en entreprise et ainsi alimenter l’annexe pédagogique des conventions de stage ou le livret d’apprentissage.</w:t>
      </w:r>
    </w:p>
    <w:p w:rsidR="00D16C73" w:rsidRPr="00B41A4A" w:rsidRDefault="00D16C73" w:rsidP="00D16C73">
      <w:pPr>
        <w:jc w:val="both"/>
        <w:rPr>
          <w:rFonts w:ascii="Arial" w:hAnsi="Arial" w:cs="Arial"/>
          <w:sz w:val="24"/>
          <w:szCs w:val="24"/>
        </w:rPr>
      </w:pPr>
    </w:p>
    <w:p w:rsidR="00D16C73" w:rsidRDefault="00D16C73">
      <w:pPr>
        <w:rPr>
          <w:rFonts w:ascii="Arial" w:hAnsi="Arial" w:cs="Arial"/>
          <w:b/>
          <w:sz w:val="24"/>
          <w:szCs w:val="24"/>
        </w:rPr>
      </w:pPr>
      <w:r>
        <w:rPr>
          <w:rFonts w:ascii="Arial" w:hAnsi="Arial" w:cs="Arial"/>
          <w:b/>
          <w:sz w:val="24"/>
          <w:szCs w:val="24"/>
        </w:rPr>
        <w:br w:type="page"/>
      </w:r>
    </w:p>
    <w:p w:rsidR="00D16C73" w:rsidRPr="00EB61D2" w:rsidRDefault="00D16C73" w:rsidP="00D16C73">
      <w:pPr>
        <w:jc w:val="both"/>
        <w:rPr>
          <w:rFonts w:ascii="Arial" w:hAnsi="Arial" w:cs="Arial"/>
          <w:b/>
          <w:sz w:val="24"/>
          <w:szCs w:val="24"/>
        </w:rPr>
      </w:pPr>
      <w:r w:rsidRPr="00EB61D2">
        <w:rPr>
          <w:rFonts w:ascii="Arial" w:hAnsi="Arial" w:cs="Arial"/>
          <w:b/>
          <w:sz w:val="24"/>
          <w:szCs w:val="24"/>
        </w:rPr>
        <w:lastRenderedPageBreak/>
        <w:t>Le bilan terminal de compétenc</w:t>
      </w:r>
      <w:r>
        <w:rPr>
          <w:rFonts w:ascii="Arial" w:hAnsi="Arial" w:cs="Arial"/>
          <w:b/>
          <w:sz w:val="24"/>
          <w:szCs w:val="24"/>
        </w:rPr>
        <w:t>es et la notation des épreuves</w:t>
      </w:r>
    </w:p>
    <w:p w:rsidR="00D16C73" w:rsidRPr="00B41A4A" w:rsidRDefault="00D16C73" w:rsidP="00D16C73">
      <w:pPr>
        <w:jc w:val="both"/>
        <w:rPr>
          <w:rFonts w:ascii="Arial" w:hAnsi="Arial" w:cs="Arial"/>
          <w:sz w:val="24"/>
          <w:szCs w:val="24"/>
        </w:rPr>
      </w:pPr>
      <w:r w:rsidRPr="00B41A4A">
        <w:rPr>
          <w:rFonts w:ascii="Arial" w:hAnsi="Arial" w:cs="Arial"/>
          <w:sz w:val="24"/>
          <w:szCs w:val="24"/>
        </w:rPr>
        <w:t>À la fin du parcours de formation ou avant, lorsque le candidat est prêt, l’équipe pédagogique se réunit en commission de certification (en présence d’un professionnel), examine le parcours du candidat et positionne le niveau d’acquisition de chaque compétence de l’épreuve concernée. Ce positionnement abouti</w:t>
      </w:r>
      <w:r>
        <w:rPr>
          <w:rFonts w:ascii="Arial" w:hAnsi="Arial" w:cs="Arial"/>
          <w:sz w:val="24"/>
          <w:szCs w:val="24"/>
        </w:rPr>
        <w:t>t</w:t>
      </w:r>
      <w:r w:rsidRPr="00B41A4A">
        <w:rPr>
          <w:rFonts w:ascii="Arial" w:hAnsi="Arial" w:cs="Arial"/>
          <w:sz w:val="24"/>
          <w:szCs w:val="24"/>
        </w:rPr>
        <w:t xml:space="preserve"> à une </w:t>
      </w:r>
      <w:r>
        <w:rPr>
          <w:rFonts w:ascii="Arial" w:hAnsi="Arial" w:cs="Arial"/>
          <w:sz w:val="24"/>
          <w:szCs w:val="24"/>
        </w:rPr>
        <w:t xml:space="preserve">proposition de </w:t>
      </w:r>
      <w:r w:rsidRPr="00B41A4A">
        <w:rPr>
          <w:rFonts w:ascii="Arial" w:hAnsi="Arial" w:cs="Arial"/>
          <w:sz w:val="24"/>
          <w:szCs w:val="24"/>
        </w:rPr>
        <w:t>note</w:t>
      </w:r>
      <w:r w:rsidR="008F4C40">
        <w:rPr>
          <w:rFonts w:ascii="Arial" w:hAnsi="Arial" w:cs="Arial"/>
          <w:sz w:val="24"/>
          <w:szCs w:val="24"/>
        </w:rPr>
        <w:t xml:space="preserve"> établie à partir de la fiche de notation fournie dans la circulaire nationale annuelle d’organisation du diplôme.</w:t>
      </w:r>
    </w:p>
    <w:p w:rsidR="00D16C73" w:rsidRPr="00B41A4A" w:rsidRDefault="00D16C73" w:rsidP="00D16C73">
      <w:pPr>
        <w:rPr>
          <w:rFonts w:ascii="Arial" w:hAnsi="Arial" w:cs="Arial"/>
          <w:sz w:val="24"/>
          <w:szCs w:val="24"/>
        </w:rPr>
      </w:pPr>
      <w:r>
        <w:rPr>
          <w:noProof/>
          <w:lang w:eastAsia="fr-FR"/>
        </w:rPr>
        <w:drawing>
          <wp:anchor distT="0" distB="0" distL="114300" distR="114300" simplePos="0" relativeHeight="251658240" behindDoc="1" locked="0" layoutInCell="1" allowOverlap="1" wp14:anchorId="3749E36A" wp14:editId="28A624D0">
            <wp:simplePos x="0" y="0"/>
            <wp:positionH relativeFrom="column">
              <wp:posOffset>14605</wp:posOffset>
            </wp:positionH>
            <wp:positionV relativeFrom="paragraph">
              <wp:posOffset>284480</wp:posOffset>
            </wp:positionV>
            <wp:extent cx="5760720" cy="3239135"/>
            <wp:effectExtent l="19050" t="19050" r="11430" b="184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3239135"/>
                    </a:xfrm>
                    <a:prstGeom prst="rect">
                      <a:avLst/>
                    </a:prstGeom>
                    <a:ln w="15875">
                      <a:solidFill>
                        <a:schemeClr val="tx1"/>
                      </a:solidFill>
                    </a:ln>
                  </pic:spPr>
                </pic:pic>
              </a:graphicData>
            </a:graphic>
          </wp:anchor>
        </w:drawing>
      </w:r>
      <w:r w:rsidRPr="00B41A4A">
        <w:rPr>
          <w:rFonts w:ascii="Arial" w:hAnsi="Arial" w:cs="Arial"/>
          <w:sz w:val="24"/>
          <w:szCs w:val="24"/>
        </w:rPr>
        <w:t>Le principe global de l’évaluation en CCF sur le parcours peut donc s’illustrer ainsi :</w:t>
      </w:r>
    </w:p>
    <w:p w:rsidR="00D16C73" w:rsidRPr="00B41A4A" w:rsidRDefault="00D16C73" w:rsidP="00D16C73">
      <w:pPr>
        <w:rPr>
          <w:rFonts w:ascii="Arial" w:hAnsi="Arial" w:cs="Arial"/>
          <w:sz w:val="24"/>
          <w:szCs w:val="24"/>
        </w:rPr>
      </w:pPr>
    </w:p>
    <w:p w:rsidR="00D16C73" w:rsidRPr="00B41A4A" w:rsidRDefault="00D16C73" w:rsidP="00D16C73">
      <w:pPr>
        <w:rPr>
          <w:rFonts w:ascii="Arial" w:hAnsi="Arial" w:cs="Arial"/>
          <w:sz w:val="24"/>
          <w:szCs w:val="24"/>
          <w:u w:val="single"/>
        </w:rPr>
      </w:pPr>
    </w:p>
    <w:p w:rsidR="00D16C73" w:rsidRDefault="00D16C73" w:rsidP="00D16C73">
      <w:pPr>
        <w:jc w:val="both"/>
        <w:rPr>
          <w:rFonts w:ascii="Arial" w:hAnsi="Arial" w:cs="Arial"/>
          <w:sz w:val="24"/>
          <w:szCs w:val="24"/>
        </w:rPr>
      </w:pPr>
    </w:p>
    <w:p w:rsidR="00D16C73" w:rsidRDefault="00D16C73" w:rsidP="00D16C73">
      <w:pPr>
        <w:jc w:val="both"/>
        <w:rPr>
          <w:rFonts w:ascii="Arial" w:hAnsi="Arial" w:cs="Arial"/>
          <w:sz w:val="24"/>
          <w:szCs w:val="24"/>
        </w:rPr>
      </w:pPr>
    </w:p>
    <w:p w:rsidR="00D16C73" w:rsidRDefault="00D16C73" w:rsidP="00D16C73">
      <w:pPr>
        <w:jc w:val="both"/>
        <w:rPr>
          <w:rFonts w:ascii="Arial" w:hAnsi="Arial" w:cs="Arial"/>
          <w:sz w:val="24"/>
          <w:szCs w:val="24"/>
        </w:rPr>
      </w:pPr>
    </w:p>
    <w:p w:rsidR="00D16C73" w:rsidRDefault="00D16C73" w:rsidP="00D16C73">
      <w:pPr>
        <w:jc w:val="both"/>
        <w:rPr>
          <w:rFonts w:ascii="Arial" w:hAnsi="Arial" w:cs="Arial"/>
          <w:sz w:val="24"/>
          <w:szCs w:val="24"/>
        </w:rPr>
      </w:pPr>
    </w:p>
    <w:p w:rsidR="00D16C73" w:rsidRDefault="00D16C73" w:rsidP="00D16C73">
      <w:pPr>
        <w:jc w:val="both"/>
        <w:rPr>
          <w:rFonts w:ascii="Arial" w:hAnsi="Arial" w:cs="Arial"/>
          <w:sz w:val="24"/>
          <w:szCs w:val="24"/>
        </w:rPr>
      </w:pPr>
    </w:p>
    <w:p w:rsidR="00D16C73" w:rsidRDefault="00D16C73" w:rsidP="00D16C73">
      <w:pPr>
        <w:jc w:val="both"/>
        <w:rPr>
          <w:rFonts w:ascii="Arial" w:hAnsi="Arial" w:cs="Arial"/>
          <w:sz w:val="24"/>
          <w:szCs w:val="24"/>
        </w:rPr>
      </w:pPr>
    </w:p>
    <w:p w:rsidR="00D16C73" w:rsidRDefault="00D16C73" w:rsidP="00D16C73">
      <w:pPr>
        <w:jc w:val="both"/>
        <w:rPr>
          <w:rFonts w:ascii="Arial" w:hAnsi="Arial" w:cs="Arial"/>
          <w:sz w:val="24"/>
          <w:szCs w:val="24"/>
        </w:rPr>
      </w:pPr>
    </w:p>
    <w:p w:rsidR="00D16C73" w:rsidRDefault="00D16C73" w:rsidP="00D16C73">
      <w:pPr>
        <w:jc w:val="both"/>
        <w:rPr>
          <w:rFonts w:ascii="Arial" w:hAnsi="Arial" w:cs="Arial"/>
          <w:sz w:val="24"/>
          <w:szCs w:val="24"/>
        </w:rPr>
      </w:pPr>
    </w:p>
    <w:p w:rsidR="00D16C73" w:rsidRDefault="00D16C73" w:rsidP="00D16C73">
      <w:pPr>
        <w:jc w:val="both"/>
        <w:rPr>
          <w:rFonts w:ascii="Arial" w:hAnsi="Arial" w:cs="Arial"/>
          <w:sz w:val="24"/>
          <w:szCs w:val="24"/>
        </w:rPr>
      </w:pPr>
    </w:p>
    <w:p w:rsidR="00D16C73" w:rsidRDefault="00D16C73" w:rsidP="00D16C73">
      <w:pPr>
        <w:jc w:val="both"/>
        <w:rPr>
          <w:rFonts w:ascii="Arial" w:hAnsi="Arial" w:cs="Arial"/>
          <w:sz w:val="24"/>
          <w:szCs w:val="24"/>
        </w:rPr>
      </w:pPr>
    </w:p>
    <w:p w:rsidR="00D16C73" w:rsidRPr="00B41A4A" w:rsidRDefault="00D16C73" w:rsidP="00D16C73">
      <w:pPr>
        <w:jc w:val="both"/>
        <w:rPr>
          <w:rFonts w:ascii="Arial" w:hAnsi="Arial" w:cs="Arial"/>
          <w:sz w:val="24"/>
          <w:szCs w:val="24"/>
        </w:rPr>
      </w:pPr>
      <w:r w:rsidRPr="00D16C73">
        <w:rPr>
          <w:rFonts w:ascii="Arial" w:hAnsi="Arial" w:cs="Arial"/>
          <w:sz w:val="24"/>
          <w:szCs w:val="24"/>
        </w:rPr>
        <w:t xml:space="preserve">Le livret de suivi permettra également de fournir à tout apprenant, à la fin du parcours ou lors d’une sortie de formation (changement d’établissement, réorientation,…), une </w:t>
      </w:r>
      <w:r w:rsidRPr="00D16C73">
        <w:rPr>
          <w:rFonts w:ascii="Arial" w:hAnsi="Arial" w:cs="Arial"/>
          <w:b/>
          <w:sz w:val="24"/>
          <w:szCs w:val="24"/>
          <w:u w:val="single"/>
        </w:rPr>
        <w:t>attestation des compétences professionnelles acquises</w:t>
      </w:r>
      <w:r w:rsidRPr="00D16C73">
        <w:rPr>
          <w:rFonts w:ascii="Arial" w:hAnsi="Arial" w:cs="Arial"/>
          <w:sz w:val="24"/>
          <w:szCs w:val="24"/>
        </w:rPr>
        <w:t>.</w:t>
      </w:r>
    </w:p>
    <w:p w:rsidR="00D16C73" w:rsidRPr="00B41A4A" w:rsidRDefault="00D16C73" w:rsidP="00D16C73">
      <w:pPr>
        <w:jc w:val="both"/>
        <w:rPr>
          <w:rFonts w:ascii="Arial" w:hAnsi="Arial" w:cs="Arial"/>
          <w:sz w:val="24"/>
          <w:szCs w:val="24"/>
        </w:rPr>
      </w:pPr>
      <w:r w:rsidRPr="00B41A4A">
        <w:rPr>
          <w:rFonts w:ascii="Arial" w:hAnsi="Arial" w:cs="Arial"/>
          <w:sz w:val="24"/>
          <w:szCs w:val="24"/>
        </w:rPr>
        <w:t>La question du nombre de situations de formation évaluées dans le livret est importante. Il s’agira pour chaque équipe pédagogique de définir le maillage de l’évaluation. Le nombre d’évaluations nécessaire</w:t>
      </w:r>
      <w:r>
        <w:rPr>
          <w:rFonts w:ascii="Arial" w:hAnsi="Arial" w:cs="Arial"/>
          <w:sz w:val="24"/>
          <w:szCs w:val="24"/>
        </w:rPr>
        <w:t>s</w:t>
      </w:r>
      <w:r w:rsidRPr="00B41A4A">
        <w:rPr>
          <w:rFonts w:ascii="Arial" w:hAnsi="Arial" w:cs="Arial"/>
          <w:sz w:val="24"/>
          <w:szCs w:val="24"/>
        </w:rPr>
        <w:t xml:space="preserve"> ne peut être fixé à l’avance. Cependant, certaines contraintes devront être respectées afin que l’exploitation du livret soit possible : </w:t>
      </w:r>
    </w:p>
    <w:p w:rsidR="00D16C73" w:rsidRPr="00B41A4A" w:rsidRDefault="00D16C73" w:rsidP="00D16C73">
      <w:pPr>
        <w:spacing w:after="0"/>
        <w:ind w:left="709" w:hanging="142"/>
        <w:jc w:val="both"/>
        <w:rPr>
          <w:rFonts w:ascii="Arial" w:hAnsi="Arial" w:cs="Arial"/>
          <w:sz w:val="24"/>
          <w:szCs w:val="24"/>
        </w:rPr>
      </w:pPr>
      <w:r>
        <w:rPr>
          <w:rFonts w:ascii="Arial" w:hAnsi="Arial" w:cs="Arial"/>
          <w:sz w:val="24"/>
          <w:szCs w:val="24"/>
        </w:rPr>
        <w:t xml:space="preserve">• </w:t>
      </w:r>
      <w:r w:rsidRPr="00B41A4A">
        <w:rPr>
          <w:rFonts w:ascii="Arial" w:hAnsi="Arial" w:cs="Arial"/>
          <w:sz w:val="24"/>
          <w:szCs w:val="24"/>
        </w:rPr>
        <w:t xml:space="preserve">le nombre d’évaluations d’un même critère doit </w:t>
      </w:r>
      <w:r>
        <w:rPr>
          <w:rFonts w:ascii="Arial" w:hAnsi="Arial" w:cs="Arial"/>
          <w:sz w:val="24"/>
          <w:szCs w:val="24"/>
        </w:rPr>
        <w:t xml:space="preserve">être </w:t>
      </w:r>
      <w:r w:rsidRPr="00B41A4A">
        <w:rPr>
          <w:rFonts w:ascii="Arial" w:hAnsi="Arial" w:cs="Arial"/>
          <w:sz w:val="24"/>
          <w:szCs w:val="24"/>
        </w:rPr>
        <w:t xml:space="preserve">suffisant </w:t>
      </w:r>
      <w:r>
        <w:rPr>
          <w:rFonts w:ascii="Arial" w:hAnsi="Arial" w:cs="Arial"/>
          <w:sz w:val="24"/>
          <w:szCs w:val="24"/>
        </w:rPr>
        <w:t xml:space="preserve">pour </w:t>
      </w:r>
      <w:r w:rsidRPr="00B41A4A">
        <w:rPr>
          <w:rFonts w:ascii="Arial" w:hAnsi="Arial" w:cs="Arial"/>
          <w:sz w:val="24"/>
          <w:szCs w:val="24"/>
        </w:rPr>
        <w:t xml:space="preserve">que </w:t>
      </w:r>
      <w:r>
        <w:rPr>
          <w:rFonts w:ascii="Arial" w:hAnsi="Arial" w:cs="Arial"/>
          <w:sz w:val="24"/>
          <w:szCs w:val="24"/>
        </w:rPr>
        <w:t xml:space="preserve">la </w:t>
      </w:r>
      <w:r w:rsidRPr="00B41A4A">
        <w:rPr>
          <w:rFonts w:ascii="Arial" w:hAnsi="Arial" w:cs="Arial"/>
          <w:sz w:val="24"/>
          <w:szCs w:val="24"/>
        </w:rPr>
        <w:t>répétabilité de l’évaluation soit réellement observable</w:t>
      </w:r>
      <w:r>
        <w:rPr>
          <w:rFonts w:ascii="Arial" w:hAnsi="Arial" w:cs="Arial"/>
          <w:sz w:val="24"/>
          <w:szCs w:val="24"/>
        </w:rPr>
        <w:t xml:space="preserve"> (stabilisation et transférabilité de la compétence)</w:t>
      </w:r>
    </w:p>
    <w:p w:rsidR="00D16C73" w:rsidRPr="00B41A4A" w:rsidRDefault="00D16C73" w:rsidP="00D16C73">
      <w:pPr>
        <w:spacing w:after="0"/>
        <w:ind w:left="709" w:hanging="142"/>
        <w:jc w:val="both"/>
        <w:rPr>
          <w:rFonts w:ascii="Arial" w:hAnsi="Arial" w:cs="Arial"/>
          <w:sz w:val="24"/>
          <w:szCs w:val="24"/>
        </w:rPr>
      </w:pPr>
      <w:r w:rsidRPr="00B41A4A">
        <w:rPr>
          <w:rFonts w:ascii="Arial" w:hAnsi="Arial" w:cs="Arial"/>
          <w:sz w:val="24"/>
          <w:szCs w:val="24"/>
        </w:rPr>
        <w:t>• les évaluations doivent être réparties sur le parcours de formation</w:t>
      </w:r>
    </w:p>
    <w:p w:rsidR="00D16C73" w:rsidRPr="00B41A4A" w:rsidRDefault="00D16C73" w:rsidP="00D16C73">
      <w:pPr>
        <w:spacing w:after="0"/>
        <w:ind w:left="709" w:hanging="142"/>
        <w:jc w:val="both"/>
        <w:rPr>
          <w:rFonts w:ascii="Arial" w:hAnsi="Arial" w:cs="Arial"/>
          <w:sz w:val="24"/>
          <w:szCs w:val="24"/>
        </w:rPr>
      </w:pPr>
      <w:r w:rsidRPr="00B41A4A">
        <w:rPr>
          <w:rFonts w:ascii="Arial" w:hAnsi="Arial" w:cs="Arial"/>
          <w:sz w:val="24"/>
          <w:szCs w:val="24"/>
        </w:rPr>
        <w:t>• le nombre de critères et de compétences</w:t>
      </w:r>
      <w:r w:rsidR="008F4C40">
        <w:rPr>
          <w:rFonts w:ascii="Arial" w:hAnsi="Arial" w:cs="Arial"/>
          <w:sz w:val="24"/>
          <w:szCs w:val="24"/>
        </w:rPr>
        <w:t xml:space="preserve"> évalués est forcément limité pou</w:t>
      </w:r>
      <w:r w:rsidRPr="00B41A4A">
        <w:rPr>
          <w:rFonts w:ascii="Arial" w:hAnsi="Arial" w:cs="Arial"/>
          <w:sz w:val="24"/>
          <w:szCs w:val="24"/>
        </w:rPr>
        <w:t>r une même situation de formation</w:t>
      </w:r>
    </w:p>
    <w:p w:rsidR="00D16C73" w:rsidRPr="00B41A4A" w:rsidRDefault="00D16C73" w:rsidP="00D16C73">
      <w:pPr>
        <w:spacing w:after="0"/>
        <w:jc w:val="both"/>
        <w:rPr>
          <w:rFonts w:ascii="Arial" w:hAnsi="Arial" w:cs="Arial"/>
          <w:sz w:val="24"/>
          <w:szCs w:val="24"/>
        </w:rPr>
      </w:pPr>
    </w:p>
    <w:p w:rsidR="00D16C73" w:rsidRPr="00B41A4A" w:rsidRDefault="00D16C73" w:rsidP="00D16C73">
      <w:pPr>
        <w:spacing w:after="0"/>
        <w:jc w:val="both"/>
        <w:rPr>
          <w:rFonts w:ascii="Arial" w:hAnsi="Arial" w:cs="Arial"/>
          <w:sz w:val="24"/>
          <w:szCs w:val="24"/>
        </w:rPr>
      </w:pPr>
      <w:r w:rsidRPr="00B41A4A">
        <w:rPr>
          <w:rFonts w:ascii="Arial" w:hAnsi="Arial" w:cs="Arial"/>
          <w:sz w:val="24"/>
          <w:szCs w:val="24"/>
        </w:rPr>
        <w:t>Il reste bien entendu tout à fait possible de conduire des situations et des évaluations qui ne seraient pas intégrées dans le livret de suivi (activités de formation très courtes, contrôles de connaissances seules, activités de formations intermédiaires intégrées dans un projet de formation plus complet, ….).</w:t>
      </w:r>
    </w:p>
    <w:sectPr w:rsidR="00D16C73" w:rsidRPr="00B41A4A" w:rsidSect="000F55FB">
      <w:headerReference w:type="default" r:id="rId9"/>
      <w:pgSz w:w="11906" w:h="16838"/>
      <w:pgMar w:top="1417" w:right="1417" w:bottom="851"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24" w:rsidRDefault="00931124" w:rsidP="000F55FB">
      <w:pPr>
        <w:spacing w:after="0" w:line="240" w:lineRule="auto"/>
      </w:pPr>
      <w:r>
        <w:separator/>
      </w:r>
    </w:p>
  </w:endnote>
  <w:endnote w:type="continuationSeparator" w:id="0">
    <w:p w:rsidR="00931124" w:rsidRDefault="00931124" w:rsidP="000F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24" w:rsidRDefault="00931124" w:rsidP="000F55FB">
      <w:pPr>
        <w:spacing w:after="0" w:line="240" w:lineRule="auto"/>
      </w:pPr>
      <w:r>
        <w:separator/>
      </w:r>
    </w:p>
  </w:footnote>
  <w:footnote w:type="continuationSeparator" w:id="0">
    <w:p w:rsidR="00931124" w:rsidRDefault="00931124" w:rsidP="000F5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FB" w:rsidRDefault="000F55FB" w:rsidP="00485EB0">
    <w:pPr>
      <w:pStyle w:val="En-tte"/>
      <w:tabs>
        <w:tab w:val="left" w:pos="708"/>
      </w:tabs>
      <w:ind w:left="1134" w:right="707"/>
      <w:jc w:val="center"/>
      <w:rPr>
        <w:rFonts w:cs="Arial"/>
        <w:b/>
        <w:bCs/>
        <w:color w:val="000000"/>
        <w:kern w:val="24"/>
      </w:rPr>
    </w:pPr>
    <w:r w:rsidRPr="003942F9">
      <w:rPr>
        <w:rFonts w:ascii="Arial Narrow" w:hAnsi="Arial Narrow" w:cs="Arial"/>
        <w:b/>
        <w:bCs/>
        <w:noProof/>
        <w:color w:val="000000"/>
        <w:kern w:val="24"/>
        <w:sz w:val="24"/>
        <w:szCs w:val="24"/>
        <w:lang w:eastAsia="fr-FR"/>
      </w:rPr>
      <w:drawing>
        <wp:anchor distT="0" distB="0" distL="114300" distR="114300" simplePos="0" relativeHeight="251660288" behindDoc="0" locked="0" layoutInCell="1" allowOverlap="1" wp14:anchorId="73BF1697" wp14:editId="04D29F5D">
          <wp:simplePos x="0" y="0"/>
          <wp:positionH relativeFrom="column">
            <wp:posOffset>5918200</wp:posOffset>
          </wp:positionH>
          <wp:positionV relativeFrom="paragraph">
            <wp:posOffset>-113665</wp:posOffset>
          </wp:positionV>
          <wp:extent cx="775970" cy="808990"/>
          <wp:effectExtent l="0" t="0" r="5080" b="0"/>
          <wp:wrapNone/>
          <wp:docPr id="41" name="Image 40"/>
          <wp:cNvGraphicFramePr/>
          <a:graphic xmlns:a="http://schemas.openxmlformats.org/drawingml/2006/main">
            <a:graphicData uri="http://schemas.openxmlformats.org/drawingml/2006/picture">
              <pic:pic xmlns:pic="http://schemas.openxmlformats.org/drawingml/2006/picture">
                <pic:nvPicPr>
                  <pic:cNvPr id="41" name="Image 40"/>
                  <pic:cNvPicPr/>
                </pic:nvPicPr>
                <pic:blipFill rotWithShape="1">
                  <a:blip r:embed="rId1" cstate="print">
                    <a:extLst>
                      <a:ext uri="{28A0092B-C50C-407E-A947-70E740481C1C}">
                        <a14:useLocalDpi xmlns:a14="http://schemas.microsoft.com/office/drawing/2010/main" val="0"/>
                      </a:ext>
                    </a:extLst>
                  </a:blip>
                  <a:srcRect l="23205" t="17863" r="16022" b="15292"/>
                  <a:stretch/>
                </pic:blipFill>
                <pic:spPr bwMode="auto">
                  <a:xfrm>
                    <a:off x="0" y="0"/>
                    <a:ext cx="775970" cy="80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1F3853AE" wp14:editId="4EEF0A15">
          <wp:simplePos x="0" y="0"/>
          <wp:positionH relativeFrom="column">
            <wp:posOffset>-150495</wp:posOffset>
          </wp:positionH>
          <wp:positionV relativeFrom="paragraph">
            <wp:posOffset>-62230</wp:posOffset>
          </wp:positionV>
          <wp:extent cx="665480" cy="762000"/>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480" cy="7620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cs="Arial"/>
        <w:b/>
        <w:bCs/>
        <w:color w:val="000000"/>
        <w:sz w:val="28"/>
        <w:szCs w:val="24"/>
        <w:u w:val="single"/>
      </w:rPr>
      <w:t>BAC PRO métiers de l’électricité et de ses environnements connectés</w:t>
    </w:r>
  </w:p>
  <w:p w:rsidR="000F55FB" w:rsidRDefault="000F55FB" w:rsidP="000F55FB">
    <w:pPr>
      <w:pStyle w:val="En-tte"/>
      <w:tabs>
        <w:tab w:val="left" w:pos="708"/>
      </w:tabs>
      <w:ind w:left="1134" w:right="1132"/>
      <w:jc w:val="center"/>
      <w:rPr>
        <w:rFonts w:ascii="Arial Narrow" w:hAnsi="Arial Narrow" w:cs="Arial"/>
        <w:b/>
        <w:bCs/>
        <w:color w:val="000000"/>
        <w:kern w:val="24"/>
        <w:sz w:val="10"/>
        <w:szCs w:val="24"/>
      </w:rPr>
    </w:pPr>
  </w:p>
  <w:p w:rsidR="000F55FB" w:rsidRDefault="000F55FB" w:rsidP="000F55FB">
    <w:pPr>
      <w:pStyle w:val="En-tte"/>
      <w:tabs>
        <w:tab w:val="left" w:pos="708"/>
      </w:tabs>
      <w:ind w:left="1134" w:right="1132"/>
      <w:jc w:val="center"/>
      <w:rPr>
        <w:rFonts w:ascii="Arial Narrow" w:hAnsi="Arial Narrow" w:cs="Arial"/>
        <w:b/>
        <w:bCs/>
        <w:color w:val="000000"/>
        <w:kern w:val="24"/>
        <w:sz w:val="28"/>
        <w:szCs w:val="24"/>
      </w:rPr>
    </w:pPr>
    <w:r>
      <w:rPr>
        <w:rFonts w:ascii="Arial Narrow" w:hAnsi="Arial Narrow" w:cs="Arial"/>
        <w:b/>
        <w:bCs/>
        <w:color w:val="000000"/>
        <w:kern w:val="24"/>
        <w:sz w:val="24"/>
        <w:szCs w:val="24"/>
      </w:rPr>
      <w:t>Repère pour la formation</w:t>
    </w:r>
  </w:p>
  <w:p w:rsidR="000F55FB" w:rsidRDefault="000F55FB" w:rsidP="000F55FB">
    <w:pPr>
      <w:pStyle w:val="En-tte"/>
      <w:tabs>
        <w:tab w:val="left" w:pos="708"/>
      </w:tabs>
      <w:ind w:left="1134" w:right="1132"/>
      <w:jc w:val="center"/>
      <w:rPr>
        <w:rFonts w:ascii="Arial Narrow" w:hAnsi="Arial Narrow"/>
        <w:sz w:val="10"/>
        <w:szCs w:val="24"/>
      </w:rPr>
    </w:pPr>
  </w:p>
  <w:p w:rsidR="000F55FB" w:rsidRDefault="000F55FB" w:rsidP="000F55FB">
    <w:pPr>
      <w:pStyle w:val="En-tte"/>
      <w:tabs>
        <w:tab w:val="clear" w:pos="4536"/>
        <w:tab w:val="clear" w:pos="9072"/>
        <w:tab w:val="left" w:pos="708"/>
        <w:tab w:val="right" w:pos="8789"/>
      </w:tabs>
      <w:ind w:left="1134" w:right="1132"/>
      <w:rPr>
        <w:rFonts w:ascii="Arial Narrow" w:hAnsi="Arial Narrow"/>
        <w:b/>
        <w:i/>
        <w:sz w:val="16"/>
      </w:rPr>
    </w:pPr>
    <w:r>
      <w:rPr>
        <w:rFonts w:ascii="Arial Narrow" w:hAnsi="Arial Narrow"/>
        <w:i/>
        <w:sz w:val="16"/>
      </w:rPr>
      <w:t xml:space="preserve">       Version du 2</w:t>
    </w:r>
    <w:r w:rsidR="003112B6">
      <w:rPr>
        <w:rFonts w:ascii="Arial Narrow" w:hAnsi="Arial Narrow"/>
        <w:i/>
        <w:sz w:val="16"/>
      </w:rPr>
      <w:t xml:space="preserve">8 </w:t>
    </w:r>
    <w:r>
      <w:rPr>
        <w:rFonts w:ascii="Arial Narrow" w:hAnsi="Arial Narrow"/>
        <w:i/>
        <w:sz w:val="16"/>
      </w:rPr>
      <w:t xml:space="preserve">avril 2016 </w:t>
    </w:r>
    <w:r>
      <w:rPr>
        <w:rFonts w:ascii="Arial Narrow" w:hAnsi="Arial Narrow"/>
        <w:i/>
        <w:sz w:val="16"/>
      </w:rPr>
      <w:tab/>
      <w:t xml:space="preserve">Page </w:t>
    </w:r>
    <w:r>
      <w:rPr>
        <w:rFonts w:ascii="Arial Narrow" w:hAnsi="Arial Narrow"/>
        <w:b/>
        <w:i/>
        <w:sz w:val="16"/>
      </w:rPr>
      <w:fldChar w:fldCharType="begin"/>
    </w:r>
    <w:r>
      <w:rPr>
        <w:rFonts w:ascii="Arial Narrow" w:hAnsi="Arial Narrow"/>
        <w:b/>
        <w:i/>
        <w:sz w:val="16"/>
      </w:rPr>
      <w:instrText>PAGE  \* Arabic  \* MERGEFORMAT</w:instrText>
    </w:r>
    <w:r>
      <w:rPr>
        <w:rFonts w:ascii="Arial Narrow" w:hAnsi="Arial Narrow"/>
        <w:b/>
        <w:i/>
        <w:sz w:val="16"/>
      </w:rPr>
      <w:fldChar w:fldCharType="separate"/>
    </w:r>
    <w:r w:rsidR="003112B6">
      <w:rPr>
        <w:rFonts w:ascii="Arial Narrow" w:hAnsi="Arial Narrow"/>
        <w:b/>
        <w:i/>
        <w:noProof/>
        <w:sz w:val="16"/>
      </w:rPr>
      <w:t>1</w:t>
    </w:r>
    <w:r>
      <w:rPr>
        <w:rFonts w:ascii="Arial Narrow" w:hAnsi="Arial Narrow"/>
        <w:b/>
        <w:i/>
        <w:sz w:val="16"/>
      </w:rPr>
      <w:fldChar w:fldCharType="end"/>
    </w:r>
    <w:r>
      <w:rPr>
        <w:rFonts w:ascii="Arial Narrow" w:hAnsi="Arial Narrow"/>
        <w:i/>
        <w:sz w:val="16"/>
      </w:rPr>
      <w:t>/</w:t>
    </w:r>
    <w:r>
      <w:rPr>
        <w:rFonts w:ascii="Arial Narrow" w:hAnsi="Arial Narrow"/>
        <w:b/>
        <w:i/>
        <w:sz w:val="16"/>
      </w:rPr>
      <w:fldChar w:fldCharType="begin"/>
    </w:r>
    <w:r>
      <w:rPr>
        <w:rFonts w:ascii="Arial Narrow" w:hAnsi="Arial Narrow"/>
        <w:b/>
        <w:i/>
        <w:sz w:val="16"/>
      </w:rPr>
      <w:instrText>NUMPAGES  \* Arabic  \* MERGEFORMAT</w:instrText>
    </w:r>
    <w:r>
      <w:rPr>
        <w:rFonts w:ascii="Arial Narrow" w:hAnsi="Arial Narrow"/>
        <w:b/>
        <w:i/>
        <w:sz w:val="16"/>
      </w:rPr>
      <w:fldChar w:fldCharType="separate"/>
    </w:r>
    <w:r w:rsidR="003112B6">
      <w:rPr>
        <w:rFonts w:ascii="Arial Narrow" w:hAnsi="Arial Narrow"/>
        <w:b/>
        <w:i/>
        <w:noProof/>
        <w:sz w:val="16"/>
      </w:rPr>
      <w:t>2</w:t>
    </w:r>
    <w:r>
      <w:rPr>
        <w:rFonts w:ascii="Arial Narrow" w:hAnsi="Arial Narrow"/>
        <w:b/>
        <w:i/>
        <w:sz w:val="16"/>
      </w:rPr>
      <w:fldChar w:fldCharType="end"/>
    </w:r>
  </w:p>
  <w:p w:rsidR="000F55FB" w:rsidRDefault="000F55FB" w:rsidP="000F55FB">
    <w:pPr>
      <w:pStyle w:val="En-tte"/>
      <w:pBdr>
        <w:bottom w:val="single" w:sz="18" w:space="1" w:color="33CC33"/>
      </w:pBdr>
      <w:tabs>
        <w:tab w:val="clear" w:pos="4536"/>
        <w:tab w:val="clear" w:pos="9072"/>
      </w:tabs>
      <w:ind w:left="-567" w:right="-994"/>
      <w:jc w:val="center"/>
      <w:rPr>
        <w:rFonts w:ascii="Arial Narrow" w:hAnsi="Arial Narrow"/>
        <w:i/>
        <w:sz w:val="8"/>
        <w:u w:val="single" w:color="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F7FE8"/>
    <w:multiLevelType w:val="hybridMultilevel"/>
    <w:tmpl w:val="BF8E2ADA"/>
    <w:lvl w:ilvl="0" w:tplc="49989F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73"/>
    <w:rsid w:val="000F19F2"/>
    <w:rsid w:val="000F55FB"/>
    <w:rsid w:val="00110ED4"/>
    <w:rsid w:val="003112B6"/>
    <w:rsid w:val="00485EB0"/>
    <w:rsid w:val="006D0C1D"/>
    <w:rsid w:val="008E042B"/>
    <w:rsid w:val="008F4C40"/>
    <w:rsid w:val="00931124"/>
    <w:rsid w:val="00D16C73"/>
    <w:rsid w:val="00DF4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6C73"/>
    <w:pPr>
      <w:ind w:left="720"/>
      <w:contextualSpacing/>
    </w:pPr>
  </w:style>
  <w:style w:type="paragraph" w:styleId="En-tte">
    <w:name w:val="header"/>
    <w:basedOn w:val="Normal"/>
    <w:link w:val="En-tteCar"/>
    <w:uiPriority w:val="99"/>
    <w:unhideWhenUsed/>
    <w:rsid w:val="000F55FB"/>
    <w:pPr>
      <w:tabs>
        <w:tab w:val="center" w:pos="4536"/>
        <w:tab w:val="right" w:pos="9072"/>
      </w:tabs>
      <w:spacing w:after="0" w:line="240" w:lineRule="auto"/>
    </w:pPr>
  </w:style>
  <w:style w:type="character" w:customStyle="1" w:styleId="En-tteCar">
    <w:name w:val="En-tête Car"/>
    <w:basedOn w:val="Policepardfaut"/>
    <w:link w:val="En-tte"/>
    <w:uiPriority w:val="99"/>
    <w:rsid w:val="000F55FB"/>
  </w:style>
  <w:style w:type="paragraph" w:styleId="Pieddepage">
    <w:name w:val="footer"/>
    <w:basedOn w:val="Normal"/>
    <w:link w:val="PieddepageCar"/>
    <w:uiPriority w:val="99"/>
    <w:unhideWhenUsed/>
    <w:rsid w:val="000F55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5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6C73"/>
    <w:pPr>
      <w:ind w:left="720"/>
      <w:contextualSpacing/>
    </w:pPr>
  </w:style>
  <w:style w:type="paragraph" w:styleId="En-tte">
    <w:name w:val="header"/>
    <w:basedOn w:val="Normal"/>
    <w:link w:val="En-tteCar"/>
    <w:uiPriority w:val="99"/>
    <w:unhideWhenUsed/>
    <w:rsid w:val="000F55FB"/>
    <w:pPr>
      <w:tabs>
        <w:tab w:val="center" w:pos="4536"/>
        <w:tab w:val="right" w:pos="9072"/>
      </w:tabs>
      <w:spacing w:after="0" w:line="240" w:lineRule="auto"/>
    </w:pPr>
  </w:style>
  <w:style w:type="character" w:customStyle="1" w:styleId="En-tteCar">
    <w:name w:val="En-tête Car"/>
    <w:basedOn w:val="Policepardfaut"/>
    <w:link w:val="En-tte"/>
    <w:uiPriority w:val="99"/>
    <w:rsid w:val="000F55FB"/>
  </w:style>
  <w:style w:type="paragraph" w:styleId="Pieddepage">
    <w:name w:val="footer"/>
    <w:basedOn w:val="Normal"/>
    <w:link w:val="PieddepageCar"/>
    <w:uiPriority w:val="99"/>
    <w:unhideWhenUsed/>
    <w:rsid w:val="000F55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496</Words>
  <Characters>2731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JARGEAIS</dc:creator>
  <cp:lastModifiedBy>Claude POJOLAT</cp:lastModifiedBy>
  <cp:revision>5</cp:revision>
  <dcterms:created xsi:type="dcterms:W3CDTF">2016-04-28T07:54:00Z</dcterms:created>
  <dcterms:modified xsi:type="dcterms:W3CDTF">2016-04-28T18:54:00Z</dcterms:modified>
</cp:coreProperties>
</file>